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FC2185" w:rsidP="00D8603A">
      <w:pPr>
        <w:pStyle w:val="Standard"/>
        <w:rPr>
          <w:rFonts w:ascii="Arial" w:hAnsi="Arial" w:cs="Arial"/>
          <w:sz w:val="22"/>
          <w:szCs w:val="22"/>
        </w:rPr>
      </w:pPr>
      <w:r w:rsidRPr="007C5DAE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9293F39" wp14:editId="7E6B4D03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C5DAE" w:rsidRDefault="00F83DD2" w:rsidP="00D8603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243280" w:rsidRDefault="009A7001" w:rsidP="00D8603A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43280" w:rsidRDefault="009A7001" w:rsidP="00D8603A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43280" w:rsidRDefault="003F1E75" w:rsidP="00D8603A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43280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43280">
        <w:rPr>
          <w:rFonts w:ascii="Arial" w:hAnsi="Arial" w:cs="Arial"/>
          <w:b/>
        </w:rPr>
        <w:t>ESTADO DO RIO GRANDE DO SUL</w:t>
      </w:r>
    </w:p>
    <w:p w:rsidR="00DF54AC" w:rsidRPr="00243280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43280">
        <w:rPr>
          <w:rFonts w:ascii="Arial" w:hAnsi="Arial" w:cs="Arial"/>
          <w:b/>
        </w:rPr>
        <w:t>MUNICÍPIO DE ARROIO DO PADRE</w:t>
      </w:r>
    </w:p>
    <w:p w:rsidR="00DF54AC" w:rsidRPr="00243280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43280">
        <w:rPr>
          <w:rFonts w:ascii="Arial" w:hAnsi="Arial" w:cs="Arial"/>
          <w:b/>
        </w:rPr>
        <w:t>GABINETE DO PREFEITO</w:t>
      </w:r>
    </w:p>
    <w:p w:rsidR="009826CC" w:rsidRPr="00243280" w:rsidRDefault="00515A9A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4328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C49CB">
        <w:rPr>
          <w:rFonts w:ascii="Arial" w:hAnsi="Arial" w:cs="Arial"/>
          <w:b/>
          <w:bCs/>
          <w:color w:val="auto"/>
          <w:u w:val="single"/>
        </w:rPr>
        <w:t>7</w:t>
      </w:r>
      <w:r w:rsidR="00F17CB8">
        <w:rPr>
          <w:rFonts w:ascii="Arial" w:hAnsi="Arial" w:cs="Arial"/>
          <w:b/>
          <w:bCs/>
          <w:color w:val="auto"/>
          <w:u w:val="single"/>
        </w:rPr>
        <w:t>8</w:t>
      </w:r>
      <w:r w:rsidR="00001E7C" w:rsidRPr="00243280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243280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243280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3280">
        <w:rPr>
          <w:rFonts w:ascii="Arial" w:hAnsi="Arial" w:cs="Arial"/>
          <w:b/>
          <w:bCs/>
          <w:color w:val="auto"/>
        </w:rPr>
        <w:t>A</w:t>
      </w:r>
    </w:p>
    <w:p w:rsidR="009826CC" w:rsidRPr="00FF6C55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F6C5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556DF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56DF">
        <w:rPr>
          <w:rFonts w:ascii="Arial" w:hAnsi="Arial" w:cs="Arial"/>
          <w:b/>
          <w:bCs/>
          <w:color w:val="auto"/>
        </w:rPr>
        <w:t>Senhor Presidente</w:t>
      </w:r>
    </w:p>
    <w:p w:rsidR="009826CC" w:rsidRPr="007556DF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56DF">
        <w:rPr>
          <w:rFonts w:ascii="Arial" w:hAnsi="Arial" w:cs="Arial"/>
          <w:b/>
          <w:bCs/>
          <w:color w:val="auto"/>
        </w:rPr>
        <w:t>Senhores Vereadores</w:t>
      </w:r>
    </w:p>
    <w:p w:rsidR="007F2372" w:rsidRPr="007556DF" w:rsidRDefault="007F2372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21E0F" w:rsidRPr="007556DF" w:rsidRDefault="00721E0F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F6C55" w:rsidRPr="007556DF" w:rsidRDefault="00FF6C55" w:rsidP="00FF6C55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7556DF">
        <w:rPr>
          <w:rFonts w:ascii="Arial" w:hAnsi="Arial" w:cs="Arial"/>
          <w:shd w:val="clear" w:color="auto" w:fill="FFFFFF"/>
        </w:rPr>
        <w:t xml:space="preserve">Com satisfação mais uma vez me dirijo a este Legislativo quando no uso desta lhes encaminho o projeto de lei </w:t>
      </w:r>
      <w:r w:rsidR="00F17CB8" w:rsidRPr="007556DF">
        <w:rPr>
          <w:rFonts w:ascii="Arial" w:hAnsi="Arial" w:cs="Arial"/>
          <w:shd w:val="clear" w:color="auto" w:fill="FFFFFF"/>
        </w:rPr>
        <w:t>78</w:t>
      </w:r>
      <w:r w:rsidRPr="007556DF">
        <w:rPr>
          <w:rFonts w:ascii="Arial" w:hAnsi="Arial" w:cs="Arial"/>
          <w:shd w:val="clear" w:color="auto" w:fill="FFFFFF"/>
        </w:rPr>
        <w:t>/2018.</w:t>
      </w:r>
    </w:p>
    <w:p w:rsidR="00FF6C55" w:rsidRPr="007556DF" w:rsidRDefault="00FF6C55" w:rsidP="00FF6C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556DF">
        <w:rPr>
          <w:rFonts w:ascii="Arial" w:hAnsi="Arial" w:cs="Arial"/>
          <w:shd w:val="clear" w:color="auto" w:fill="FFFFFF"/>
        </w:rPr>
        <w:tab/>
        <w:t>O presente projeto de lei tem por finalidade estabelecer o orçamento do Município de Arroio do Padre para o exercício de 2019 estima</w:t>
      </w:r>
      <w:r w:rsidR="002E3708">
        <w:rPr>
          <w:rFonts w:ascii="Arial" w:hAnsi="Arial" w:cs="Arial"/>
          <w:shd w:val="clear" w:color="auto" w:fill="FFFFFF"/>
        </w:rPr>
        <w:t>n</w:t>
      </w:r>
      <w:r w:rsidRPr="007556DF">
        <w:rPr>
          <w:rFonts w:ascii="Arial" w:hAnsi="Arial" w:cs="Arial"/>
          <w:shd w:val="clear" w:color="auto" w:fill="FFFFFF"/>
        </w:rPr>
        <w:t>do a receita e fixa</w:t>
      </w:r>
      <w:r w:rsidR="002E3708">
        <w:rPr>
          <w:rFonts w:ascii="Arial" w:hAnsi="Arial" w:cs="Arial"/>
          <w:shd w:val="clear" w:color="auto" w:fill="FFFFFF"/>
        </w:rPr>
        <w:t>n</w:t>
      </w:r>
      <w:r w:rsidRPr="007556DF">
        <w:rPr>
          <w:rFonts w:ascii="Arial" w:hAnsi="Arial" w:cs="Arial"/>
          <w:shd w:val="clear" w:color="auto" w:fill="FFFFFF"/>
        </w:rPr>
        <w:t>do a</w:t>
      </w:r>
      <w:r w:rsidR="002E3708">
        <w:rPr>
          <w:rFonts w:ascii="Arial" w:hAnsi="Arial" w:cs="Arial"/>
          <w:shd w:val="clear" w:color="auto" w:fill="FFFFFF"/>
        </w:rPr>
        <w:t xml:space="preserve"> respectiva</w:t>
      </w:r>
      <w:r w:rsidRPr="007556DF">
        <w:rPr>
          <w:rFonts w:ascii="Arial" w:hAnsi="Arial" w:cs="Arial"/>
          <w:shd w:val="clear" w:color="auto" w:fill="FFFFFF"/>
        </w:rPr>
        <w:t xml:space="preserve"> despesa.</w:t>
      </w:r>
    </w:p>
    <w:p w:rsidR="00FF6C55" w:rsidRPr="007556DF" w:rsidRDefault="00FF6C55" w:rsidP="00FF6C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556DF">
        <w:rPr>
          <w:rFonts w:ascii="Arial" w:hAnsi="Arial" w:cs="Arial"/>
          <w:shd w:val="clear" w:color="auto" w:fill="FFFFFF"/>
        </w:rPr>
        <w:tab/>
        <w:t xml:space="preserve">Encontram-se dispostos no projeto de lei em </w:t>
      </w:r>
      <w:r w:rsidR="00F17CB8" w:rsidRPr="007556DF">
        <w:rPr>
          <w:rFonts w:ascii="Arial" w:hAnsi="Arial" w:cs="Arial"/>
          <w:shd w:val="clear" w:color="auto" w:fill="FFFFFF"/>
        </w:rPr>
        <w:t>referência</w:t>
      </w:r>
      <w:r w:rsidRPr="007556DF">
        <w:rPr>
          <w:rFonts w:ascii="Arial" w:hAnsi="Arial" w:cs="Arial"/>
          <w:shd w:val="clear" w:color="auto" w:fill="FFFFFF"/>
        </w:rPr>
        <w:t xml:space="preserve"> disposições sobre o orçamento fiscal e da seguridade</w:t>
      </w:r>
      <w:r w:rsidR="00CE04A2">
        <w:rPr>
          <w:rFonts w:ascii="Arial" w:hAnsi="Arial" w:cs="Arial"/>
          <w:shd w:val="clear" w:color="auto" w:fill="FFFFFF"/>
        </w:rPr>
        <w:t xml:space="preserve"> social</w:t>
      </w:r>
      <w:r w:rsidRPr="007556DF">
        <w:rPr>
          <w:rFonts w:ascii="Arial" w:hAnsi="Arial" w:cs="Arial"/>
          <w:shd w:val="clear" w:color="auto" w:fill="FFFFFF"/>
        </w:rPr>
        <w:t xml:space="preserve"> e </w:t>
      </w:r>
      <w:r w:rsidR="00CE04A2">
        <w:rPr>
          <w:rFonts w:ascii="Arial" w:hAnsi="Arial" w:cs="Arial"/>
          <w:shd w:val="clear" w:color="auto" w:fill="FFFFFF"/>
        </w:rPr>
        <w:t xml:space="preserve">ainda </w:t>
      </w:r>
      <w:r w:rsidRPr="007556DF">
        <w:rPr>
          <w:rFonts w:ascii="Arial" w:hAnsi="Arial" w:cs="Arial"/>
          <w:shd w:val="clear" w:color="auto" w:fill="FFFFFF"/>
        </w:rPr>
        <w:t>autorização para abertura de créditos suplementares, envolvendo as</w:t>
      </w:r>
      <w:r w:rsidR="00CE04A2">
        <w:rPr>
          <w:rFonts w:ascii="Arial" w:hAnsi="Arial" w:cs="Arial"/>
          <w:shd w:val="clear" w:color="auto" w:fill="FFFFFF"/>
        </w:rPr>
        <w:t>sim, tudo que deverá ser objet</w:t>
      </w:r>
      <w:r w:rsidRPr="007556DF">
        <w:rPr>
          <w:rFonts w:ascii="Arial" w:hAnsi="Arial" w:cs="Arial"/>
          <w:shd w:val="clear" w:color="auto" w:fill="FFFFFF"/>
        </w:rPr>
        <w:t>o de execução pelo Município no exercício de 2019.</w:t>
      </w:r>
    </w:p>
    <w:p w:rsidR="00FF6C55" w:rsidRPr="007556DF" w:rsidRDefault="00FF6C55" w:rsidP="00FF6C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556DF">
        <w:rPr>
          <w:rFonts w:ascii="Arial" w:hAnsi="Arial" w:cs="Arial"/>
          <w:shd w:val="clear" w:color="auto" w:fill="FFFFFF"/>
        </w:rPr>
        <w:tab/>
        <w:t>Quanto a situação econômica e financeira do Município de Arroio do Padre</w:t>
      </w:r>
      <w:r w:rsidR="00AA7675">
        <w:rPr>
          <w:rFonts w:ascii="Arial" w:hAnsi="Arial" w:cs="Arial"/>
          <w:shd w:val="clear" w:color="auto" w:fill="FFFFFF"/>
        </w:rPr>
        <w:t>,</w:t>
      </w:r>
      <w:r w:rsidRPr="007556DF">
        <w:rPr>
          <w:rFonts w:ascii="Arial" w:hAnsi="Arial" w:cs="Arial"/>
          <w:shd w:val="clear" w:color="auto" w:fill="FFFFFF"/>
        </w:rPr>
        <w:t xml:space="preserve"> no momento da elaboração do orçamento para o próximo ano, </w:t>
      </w:r>
      <w:r w:rsidR="00CE04A2">
        <w:rPr>
          <w:rFonts w:ascii="Arial" w:hAnsi="Arial" w:cs="Arial"/>
          <w:shd w:val="clear" w:color="auto" w:fill="FFFFFF"/>
        </w:rPr>
        <w:t xml:space="preserve">é </w:t>
      </w:r>
      <w:r w:rsidRPr="007556DF">
        <w:rPr>
          <w:rFonts w:ascii="Arial" w:hAnsi="Arial" w:cs="Arial"/>
          <w:shd w:val="clear" w:color="auto" w:fill="FFFFFF"/>
        </w:rPr>
        <w:t xml:space="preserve">importante ressaltar que a situação no seu “todo” </w:t>
      </w:r>
      <w:r w:rsidR="00F17CB8" w:rsidRPr="007556DF">
        <w:rPr>
          <w:rFonts w:ascii="Arial" w:hAnsi="Arial" w:cs="Arial"/>
          <w:shd w:val="clear" w:color="auto" w:fill="FFFFFF"/>
        </w:rPr>
        <w:t>está</w:t>
      </w:r>
      <w:r w:rsidRPr="007556DF">
        <w:rPr>
          <w:rFonts w:ascii="Arial" w:hAnsi="Arial" w:cs="Arial"/>
          <w:shd w:val="clear" w:color="auto" w:fill="FFFFFF"/>
        </w:rPr>
        <w:t xml:space="preserve"> sob controle. Isto significa dizer que apesar da situação razoável </w:t>
      </w:r>
      <w:r w:rsidR="00CE04A2">
        <w:rPr>
          <w:rFonts w:ascii="Arial" w:hAnsi="Arial" w:cs="Arial"/>
          <w:shd w:val="clear" w:color="auto" w:fill="FFFFFF"/>
        </w:rPr>
        <w:t>em que nos encontramos</w:t>
      </w:r>
      <w:r w:rsidR="00B060DF">
        <w:rPr>
          <w:rFonts w:ascii="Arial" w:hAnsi="Arial" w:cs="Arial"/>
          <w:shd w:val="clear" w:color="auto" w:fill="FFFFFF"/>
        </w:rPr>
        <w:t>,</w:t>
      </w:r>
      <w:r w:rsidR="00CE04A2">
        <w:rPr>
          <w:rFonts w:ascii="Arial" w:hAnsi="Arial" w:cs="Arial"/>
          <w:shd w:val="clear" w:color="auto" w:fill="FFFFFF"/>
        </w:rPr>
        <w:t xml:space="preserve"> </w:t>
      </w:r>
      <w:r w:rsidRPr="007556DF">
        <w:rPr>
          <w:rFonts w:ascii="Arial" w:hAnsi="Arial" w:cs="Arial"/>
          <w:shd w:val="clear" w:color="auto" w:fill="FFFFFF"/>
        </w:rPr>
        <w:t>o momento inspira cuidados.</w:t>
      </w:r>
    </w:p>
    <w:p w:rsidR="00FF6C55" w:rsidRPr="007556DF" w:rsidRDefault="00FF6C55" w:rsidP="00FF6C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556DF">
        <w:rPr>
          <w:rFonts w:ascii="Arial" w:hAnsi="Arial" w:cs="Arial"/>
          <w:shd w:val="clear" w:color="auto" w:fill="FFFFFF"/>
        </w:rPr>
        <w:tab/>
        <w:t>Pretendemos continuar o trabalho frente a administração de nosso Município com a responsabilidade que sempre norteou os procedimentos adotad</w:t>
      </w:r>
      <w:r w:rsidR="00AA7675">
        <w:rPr>
          <w:rFonts w:ascii="Arial" w:hAnsi="Arial" w:cs="Arial"/>
          <w:shd w:val="clear" w:color="auto" w:fill="FFFFFF"/>
        </w:rPr>
        <w:t>os. Sabemos que a peça orçamentá</w:t>
      </w:r>
      <w:r w:rsidRPr="007556DF">
        <w:rPr>
          <w:rFonts w:ascii="Arial" w:hAnsi="Arial" w:cs="Arial"/>
          <w:shd w:val="clear" w:color="auto" w:fill="FFFFFF"/>
        </w:rPr>
        <w:t xml:space="preserve">ria não engloba tudo que </w:t>
      </w:r>
      <w:r w:rsidR="00B060DF">
        <w:rPr>
          <w:rFonts w:ascii="Arial" w:hAnsi="Arial" w:cs="Arial"/>
          <w:shd w:val="clear" w:color="auto" w:fill="FFFFFF"/>
        </w:rPr>
        <w:t xml:space="preserve">gostaríamos de ver realizado, </w:t>
      </w:r>
      <w:r w:rsidRPr="007556DF">
        <w:rPr>
          <w:rFonts w:ascii="Arial" w:hAnsi="Arial" w:cs="Arial"/>
          <w:shd w:val="clear" w:color="auto" w:fill="FFFFFF"/>
        </w:rPr>
        <w:t xml:space="preserve">mas temos consciência de que o que é essencial no atendimento </w:t>
      </w:r>
      <w:r w:rsidR="00B060DF" w:rsidRPr="007556DF">
        <w:rPr>
          <w:rFonts w:ascii="Arial" w:hAnsi="Arial" w:cs="Arial"/>
          <w:shd w:val="clear" w:color="auto" w:fill="FFFFFF"/>
        </w:rPr>
        <w:t>à</w:t>
      </w:r>
      <w:r w:rsidRPr="007556DF">
        <w:rPr>
          <w:rFonts w:ascii="Arial" w:hAnsi="Arial" w:cs="Arial"/>
          <w:shd w:val="clear" w:color="auto" w:fill="FFFFFF"/>
        </w:rPr>
        <w:t xml:space="preserve"> população das diversas áreas em que Município atua</w:t>
      </w:r>
      <w:r w:rsidR="00B060DF">
        <w:rPr>
          <w:rFonts w:ascii="Arial" w:hAnsi="Arial" w:cs="Arial"/>
          <w:shd w:val="clear" w:color="auto" w:fill="FFFFFF"/>
        </w:rPr>
        <w:t>,</w:t>
      </w:r>
      <w:r w:rsidRPr="007556DF">
        <w:rPr>
          <w:rFonts w:ascii="Arial" w:hAnsi="Arial" w:cs="Arial"/>
          <w:shd w:val="clear" w:color="auto" w:fill="FFFFFF"/>
        </w:rPr>
        <w:t xml:space="preserve"> está sendo contemplado</w:t>
      </w:r>
      <w:r w:rsidR="00B060DF">
        <w:rPr>
          <w:rFonts w:ascii="Arial" w:hAnsi="Arial" w:cs="Arial"/>
          <w:shd w:val="clear" w:color="auto" w:fill="FFFFFF"/>
        </w:rPr>
        <w:t>,</w:t>
      </w:r>
      <w:r w:rsidRPr="007556DF">
        <w:rPr>
          <w:rFonts w:ascii="Arial" w:hAnsi="Arial" w:cs="Arial"/>
          <w:shd w:val="clear" w:color="auto" w:fill="FFFFFF"/>
        </w:rPr>
        <w:t xml:space="preserve"> podendo ser ainda ampliado no decorrer do ano. O orçamento ora apresentado encontra-se em completo equilí</w:t>
      </w:r>
      <w:r w:rsidR="00B060DF">
        <w:rPr>
          <w:rFonts w:ascii="Arial" w:hAnsi="Arial" w:cs="Arial"/>
          <w:shd w:val="clear" w:color="auto" w:fill="FFFFFF"/>
        </w:rPr>
        <w:t xml:space="preserve">brio entre </w:t>
      </w:r>
      <w:r w:rsidRPr="007556DF">
        <w:rPr>
          <w:rFonts w:ascii="Arial" w:hAnsi="Arial" w:cs="Arial"/>
          <w:shd w:val="clear" w:color="auto" w:fill="FFFFFF"/>
        </w:rPr>
        <w:t>receita e despesa e o desenvolver da arrecadação deverá determinar a forma como os gastos poderão ser sendo assumidos</w:t>
      </w:r>
      <w:r w:rsidR="00B060DF">
        <w:rPr>
          <w:rFonts w:ascii="Arial" w:hAnsi="Arial" w:cs="Arial"/>
          <w:shd w:val="clear" w:color="auto" w:fill="FFFFFF"/>
        </w:rPr>
        <w:t xml:space="preserve"> e os produtos colocados </w:t>
      </w:r>
      <w:r w:rsidR="00EC30B0">
        <w:rPr>
          <w:rFonts w:ascii="Arial" w:hAnsi="Arial" w:cs="Arial"/>
          <w:shd w:val="clear" w:color="auto" w:fill="FFFFFF"/>
        </w:rPr>
        <w:t>à</w:t>
      </w:r>
      <w:r w:rsidR="00B060DF">
        <w:rPr>
          <w:rFonts w:ascii="Arial" w:hAnsi="Arial" w:cs="Arial"/>
          <w:shd w:val="clear" w:color="auto" w:fill="FFFFFF"/>
        </w:rPr>
        <w:t xml:space="preserve"> disposição da população</w:t>
      </w:r>
      <w:r w:rsidRPr="007556DF">
        <w:rPr>
          <w:rFonts w:ascii="Arial" w:hAnsi="Arial" w:cs="Arial"/>
          <w:shd w:val="clear" w:color="auto" w:fill="FFFFFF"/>
        </w:rPr>
        <w:t>.</w:t>
      </w:r>
    </w:p>
    <w:p w:rsidR="00FF6C55" w:rsidRPr="007556DF" w:rsidRDefault="00FF6C55" w:rsidP="00FF6C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556DF">
        <w:rPr>
          <w:rFonts w:ascii="Arial" w:hAnsi="Arial" w:cs="Arial"/>
          <w:shd w:val="clear" w:color="auto" w:fill="FFFFFF"/>
        </w:rPr>
        <w:tab/>
        <w:t xml:space="preserve">Portanto, conforme exposto, tenho que o disposto no presente projeto de lei como, </w:t>
      </w:r>
      <w:r w:rsidR="00EC30B0">
        <w:rPr>
          <w:rFonts w:ascii="Arial" w:hAnsi="Arial" w:cs="Arial"/>
          <w:shd w:val="clear" w:color="auto" w:fill="FFFFFF"/>
        </w:rPr>
        <w:t xml:space="preserve">em seus anexos </w:t>
      </w:r>
      <w:r w:rsidRPr="007556DF">
        <w:rPr>
          <w:rFonts w:ascii="Arial" w:hAnsi="Arial" w:cs="Arial"/>
          <w:shd w:val="clear" w:color="auto" w:fill="FFFFFF"/>
        </w:rPr>
        <w:t>atende as exigências legais</w:t>
      </w:r>
      <w:r w:rsidR="00EC30B0">
        <w:rPr>
          <w:rFonts w:ascii="Arial" w:hAnsi="Arial" w:cs="Arial"/>
          <w:shd w:val="clear" w:color="auto" w:fill="FFFFFF"/>
        </w:rPr>
        <w:t>, como</w:t>
      </w:r>
      <w:r w:rsidRPr="007556DF">
        <w:rPr>
          <w:rFonts w:ascii="Arial" w:hAnsi="Arial" w:cs="Arial"/>
          <w:shd w:val="clear" w:color="auto" w:fill="FFFFFF"/>
        </w:rPr>
        <w:t xml:space="preserve"> também a atende o contexto para a sua aplicação física e assim espero a sua aprovação.</w:t>
      </w:r>
    </w:p>
    <w:p w:rsidR="00FF6C55" w:rsidRPr="007556DF" w:rsidRDefault="00FF6C55" w:rsidP="00FF6C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556DF">
        <w:rPr>
          <w:rFonts w:ascii="Arial" w:hAnsi="Arial" w:cs="Arial"/>
          <w:shd w:val="clear" w:color="auto" w:fill="FFFFFF"/>
        </w:rPr>
        <w:tab/>
        <w:t>Nada mais para o momento.</w:t>
      </w:r>
    </w:p>
    <w:p w:rsidR="003F1A6A" w:rsidRPr="007556DF" w:rsidRDefault="00174721" w:rsidP="00D8603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556DF">
        <w:rPr>
          <w:rFonts w:ascii="Arial" w:hAnsi="Arial" w:cs="Arial"/>
          <w:shd w:val="clear" w:color="auto" w:fill="FFFFFF"/>
        </w:rPr>
        <w:tab/>
      </w:r>
      <w:r w:rsidR="00861D2C" w:rsidRPr="007556DF">
        <w:rPr>
          <w:rFonts w:ascii="Arial" w:hAnsi="Arial" w:cs="Arial"/>
          <w:shd w:val="clear" w:color="auto" w:fill="FFFFFF"/>
        </w:rPr>
        <w:t>Atenciosamente.</w:t>
      </w:r>
    </w:p>
    <w:p w:rsidR="0066045C" w:rsidRPr="007556DF" w:rsidRDefault="001F29F2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7556DF">
        <w:rPr>
          <w:rFonts w:ascii="Arial" w:hAnsi="Arial" w:cs="Arial"/>
          <w:bCs/>
          <w:color w:val="auto"/>
        </w:rPr>
        <w:t>A</w:t>
      </w:r>
      <w:r w:rsidR="00214D53" w:rsidRPr="007556DF">
        <w:rPr>
          <w:rFonts w:ascii="Arial" w:hAnsi="Arial" w:cs="Arial"/>
          <w:bCs/>
          <w:color w:val="auto"/>
        </w:rPr>
        <w:t xml:space="preserve">rroio do Padre, </w:t>
      </w:r>
      <w:r w:rsidR="007556DF" w:rsidRPr="007556DF">
        <w:rPr>
          <w:rFonts w:ascii="Arial" w:hAnsi="Arial" w:cs="Arial"/>
          <w:bCs/>
          <w:color w:val="auto"/>
        </w:rPr>
        <w:t>26</w:t>
      </w:r>
      <w:r w:rsidR="003E2D0C" w:rsidRPr="007556DF">
        <w:rPr>
          <w:rFonts w:ascii="Arial" w:hAnsi="Arial" w:cs="Arial"/>
          <w:bCs/>
          <w:color w:val="auto"/>
        </w:rPr>
        <w:t xml:space="preserve"> </w:t>
      </w:r>
      <w:r w:rsidR="00DF51E8" w:rsidRPr="007556DF">
        <w:rPr>
          <w:rFonts w:ascii="Arial" w:hAnsi="Arial" w:cs="Arial"/>
          <w:bCs/>
          <w:color w:val="auto"/>
        </w:rPr>
        <w:t xml:space="preserve">de </w:t>
      </w:r>
      <w:r w:rsidR="009D2304" w:rsidRPr="007556DF">
        <w:rPr>
          <w:rFonts w:ascii="Arial" w:hAnsi="Arial" w:cs="Arial"/>
          <w:bCs/>
          <w:color w:val="auto"/>
        </w:rPr>
        <w:t>outubro</w:t>
      </w:r>
      <w:r w:rsidR="000B2B65" w:rsidRPr="007556DF">
        <w:rPr>
          <w:rFonts w:ascii="Arial" w:hAnsi="Arial" w:cs="Arial"/>
          <w:bCs/>
          <w:color w:val="auto"/>
        </w:rPr>
        <w:t xml:space="preserve"> </w:t>
      </w:r>
      <w:r w:rsidR="00214D53" w:rsidRPr="007556DF">
        <w:rPr>
          <w:rFonts w:ascii="Arial" w:hAnsi="Arial" w:cs="Arial"/>
          <w:bCs/>
          <w:color w:val="auto"/>
        </w:rPr>
        <w:t>de 2018</w:t>
      </w:r>
      <w:r w:rsidR="0066045C" w:rsidRPr="007556DF">
        <w:rPr>
          <w:rFonts w:ascii="Arial" w:hAnsi="Arial" w:cs="Arial"/>
          <w:bCs/>
          <w:color w:val="auto"/>
        </w:rPr>
        <w:t xml:space="preserve">. </w:t>
      </w:r>
    </w:p>
    <w:p w:rsidR="000C49CB" w:rsidRPr="007556DF" w:rsidRDefault="000C49C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721E0F" w:rsidRPr="007556DF" w:rsidRDefault="00721E0F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7556DF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7556DF">
        <w:rPr>
          <w:rFonts w:ascii="Arial" w:hAnsi="Arial" w:cs="Arial"/>
          <w:color w:val="auto"/>
        </w:rPr>
        <w:t xml:space="preserve">Leonir </w:t>
      </w:r>
      <w:proofErr w:type="spellStart"/>
      <w:r w:rsidRPr="007556DF">
        <w:rPr>
          <w:rFonts w:ascii="Arial" w:hAnsi="Arial" w:cs="Arial"/>
          <w:color w:val="auto"/>
        </w:rPr>
        <w:t>Aldrighi</w:t>
      </w:r>
      <w:proofErr w:type="spellEnd"/>
      <w:r w:rsidRPr="007556DF">
        <w:rPr>
          <w:rFonts w:ascii="Arial" w:hAnsi="Arial" w:cs="Arial"/>
          <w:color w:val="auto"/>
        </w:rPr>
        <w:t xml:space="preserve"> </w:t>
      </w:r>
      <w:proofErr w:type="spellStart"/>
      <w:r w:rsidRPr="007556DF">
        <w:rPr>
          <w:rFonts w:ascii="Arial" w:hAnsi="Arial" w:cs="Arial"/>
          <w:color w:val="auto"/>
        </w:rPr>
        <w:t>Baschi</w:t>
      </w:r>
      <w:proofErr w:type="spellEnd"/>
    </w:p>
    <w:p w:rsidR="003F1A6A" w:rsidRPr="007556DF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7556DF">
        <w:rPr>
          <w:rFonts w:ascii="Arial" w:hAnsi="Arial" w:cs="Arial"/>
          <w:color w:val="auto"/>
        </w:rPr>
        <w:t>Prefeito Municipal</w:t>
      </w:r>
    </w:p>
    <w:p w:rsidR="007F2372" w:rsidRPr="00FF6C55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03276F" w:rsidRPr="00FF6C55" w:rsidRDefault="003E2D0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F6C55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FF6C55" w:rsidRDefault="00214D53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FF6C55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FF6C55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F17CB8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3F1E75" w:rsidRPr="007C5DAE" w:rsidRDefault="00D8603A" w:rsidP="00D8603A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B7D4D8E" wp14:editId="41153DA4">
            <wp:simplePos x="0" y="0"/>
            <wp:positionH relativeFrom="margin">
              <wp:posOffset>2510790</wp:posOffset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Default="00DF7F05" w:rsidP="00D8603A">
      <w:pPr>
        <w:spacing w:after="0" w:line="240" w:lineRule="auto"/>
        <w:rPr>
          <w:rFonts w:ascii="Arial" w:hAnsi="Arial" w:cs="Arial"/>
        </w:rPr>
      </w:pPr>
    </w:p>
    <w:p w:rsidR="009B1B48" w:rsidRPr="007C5DAE" w:rsidRDefault="009B1B48" w:rsidP="00A556B1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A556B1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A556B1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6761C0" w:rsidRPr="00DD1BE7" w:rsidRDefault="006761C0" w:rsidP="00A55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4DA" w:rsidRPr="00DD1BE7" w:rsidRDefault="00D864DA" w:rsidP="00A55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BE7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DD1BE7" w:rsidRDefault="00D864DA" w:rsidP="00A55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BE7">
        <w:rPr>
          <w:rFonts w:ascii="Arial" w:hAnsi="Arial" w:cs="Arial"/>
          <w:b/>
          <w:sz w:val="24"/>
          <w:szCs w:val="24"/>
        </w:rPr>
        <w:t>MUNICÍPIO DE ARROIO DO PADRE</w:t>
      </w:r>
    </w:p>
    <w:p w:rsidR="00D8603A" w:rsidRPr="00DD1BE7" w:rsidRDefault="00D864DA" w:rsidP="00A55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BE7">
        <w:rPr>
          <w:rFonts w:ascii="Arial" w:hAnsi="Arial" w:cs="Arial"/>
          <w:b/>
          <w:sz w:val="24"/>
          <w:szCs w:val="24"/>
        </w:rPr>
        <w:t>GABINETE DO PREFEITO</w:t>
      </w:r>
    </w:p>
    <w:p w:rsidR="00D8603A" w:rsidRPr="00DD1BE7" w:rsidRDefault="00D8603A" w:rsidP="00A55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56B1" w:rsidRPr="00DD1BE7" w:rsidRDefault="00A556B1" w:rsidP="00A55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4DA" w:rsidRPr="00DD1BE7" w:rsidRDefault="00D864DA" w:rsidP="00A556B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PROJETO DE LEI Nº </w:t>
      </w:r>
      <w:r w:rsidR="00EA0392"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7</w:t>
      </w:r>
      <w:r w:rsidR="008C35B5">
        <w:rPr>
          <w:rFonts w:ascii="Arial" w:hAnsi="Arial" w:cs="Arial"/>
          <w:b/>
          <w:bCs/>
          <w:color w:val="auto"/>
          <w:sz w:val="24"/>
          <w:szCs w:val="24"/>
          <w:u w:val="single"/>
        </w:rPr>
        <w:t>8</w:t>
      </w:r>
      <w:bookmarkStart w:id="0" w:name="_GoBack"/>
      <w:bookmarkEnd w:id="0"/>
      <w:r w:rsidR="00BF56C5"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,</w:t>
      </w:r>
      <w:r w:rsidR="00E15996"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</w:t>
      </w:r>
      <w:r w:rsidR="007556DF">
        <w:rPr>
          <w:rFonts w:ascii="Arial" w:hAnsi="Arial" w:cs="Arial"/>
          <w:b/>
          <w:bCs/>
          <w:color w:val="auto"/>
          <w:sz w:val="24"/>
          <w:szCs w:val="24"/>
          <w:u w:val="single"/>
        </w:rPr>
        <w:t>26</w:t>
      </w:r>
      <w:r w:rsidR="007936DC"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DF51E8"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DE </w:t>
      </w:r>
      <w:r w:rsidR="009D2304"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OUTUBRO</w:t>
      </w:r>
      <w:r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201</w:t>
      </w:r>
      <w:r w:rsidR="00E15996"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8</w:t>
      </w:r>
      <w:r w:rsidRPr="00DD1B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.</w:t>
      </w:r>
    </w:p>
    <w:p w:rsidR="00623A21" w:rsidRPr="00DD1BE7" w:rsidRDefault="00623A21" w:rsidP="00623A21">
      <w:pPr>
        <w:pStyle w:val="Recuodecorpodetexto"/>
        <w:spacing w:line="240" w:lineRule="auto"/>
        <w:ind w:left="3828" w:firstLine="284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Estima a Receita e Fixa a Despesa do Município de Arroio do Padre para o exercício financeiro de 201</w:t>
      </w:r>
      <w:r w:rsidR="004D6362" w:rsidRPr="00DD1BE7">
        <w:rPr>
          <w:rFonts w:ascii="Arial" w:hAnsi="Arial" w:cs="Arial"/>
          <w:sz w:val="24"/>
          <w:szCs w:val="24"/>
        </w:rPr>
        <w:t>9</w:t>
      </w:r>
      <w:r w:rsidRPr="00DD1BE7">
        <w:rPr>
          <w:rFonts w:ascii="Arial" w:hAnsi="Arial" w:cs="Arial"/>
          <w:sz w:val="24"/>
          <w:szCs w:val="24"/>
        </w:rPr>
        <w:t>.</w:t>
      </w:r>
    </w:p>
    <w:p w:rsidR="00623A21" w:rsidRPr="00DD1BE7" w:rsidRDefault="00623A21" w:rsidP="00623A21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b/>
          <w:sz w:val="24"/>
          <w:szCs w:val="24"/>
        </w:rPr>
        <w:t>Art. 1</w:t>
      </w:r>
      <w:r w:rsidRPr="00DD1BE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. Esta Lei estima a receita e fixa a despesa do Município de Arroio do Padre para o exercício financeiro de 201</w:t>
      </w:r>
      <w:r w:rsidR="004B7886" w:rsidRPr="00DD1BE7">
        <w:rPr>
          <w:rFonts w:ascii="Arial" w:hAnsi="Arial" w:cs="Arial"/>
          <w:sz w:val="24"/>
          <w:szCs w:val="24"/>
        </w:rPr>
        <w:t>9</w:t>
      </w:r>
      <w:r w:rsidRPr="00DD1BE7">
        <w:rPr>
          <w:rFonts w:ascii="Arial" w:hAnsi="Arial" w:cs="Arial"/>
          <w:sz w:val="24"/>
          <w:szCs w:val="24"/>
        </w:rPr>
        <w:t>, referentes aos Poderes do Município, seus fundos, órgãos a eles vinculados.</w:t>
      </w:r>
    </w:p>
    <w:p w:rsidR="00623A21" w:rsidRPr="00DD1BE7" w:rsidRDefault="00623A21" w:rsidP="00623A21">
      <w:pPr>
        <w:tabs>
          <w:tab w:val="left" w:pos="1134"/>
        </w:tabs>
        <w:spacing w:after="12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§ 1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. Constituem anexos e fazem parte desta Lei: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bCs/>
          <w:sz w:val="24"/>
          <w:szCs w:val="24"/>
        </w:rPr>
      </w:pPr>
      <w:r w:rsidRPr="00DD1BE7">
        <w:rPr>
          <w:rFonts w:ascii="Arial" w:hAnsi="Arial" w:cs="Arial"/>
          <w:bCs/>
          <w:sz w:val="24"/>
          <w:szCs w:val="24"/>
        </w:rPr>
        <w:t>Anexos orçamentários 1, 2, 6, 7, 8 e 9 da Lei n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 xml:space="preserve"> 4.320, de 1964; 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bCs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Discriminação da legislação básica da receita e da despesa dos orçamentos fiscal e da seguridade social;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Demonstrativo da evolução da receita, por origem de arrecadação, e da despesa, em atendimento ao disposto no art. 12 da LC n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 xml:space="preserve"> 101/2000 e art. 22 da Lei nº 4.320 de 1964;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Demonstrativo da estimativa e compensação da renúncia de receita e da margem de expansão das despesas obrigatórias de caráter continuado, de acordo com o art. 5º, inciso II, da LC nº 101/2000;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napToGrid w:val="0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Demonstrativo das receitas por origem e das despesas por grupo de natureza de despesa dos orçamentos fiscal e da seguridade social, conforme art. 165, § 5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, III, da Constituição Federal;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 xml:space="preserve">Demonstrativo da receita e planos de aplicação dos Fundos Especiais de acordo com o </w:t>
      </w:r>
      <w:r w:rsidRPr="00DD1BE7">
        <w:rPr>
          <w:rFonts w:ascii="Arial" w:hAnsi="Arial" w:cs="Arial"/>
          <w:bCs/>
          <w:sz w:val="24"/>
          <w:szCs w:val="24"/>
        </w:rPr>
        <w:t>inciso I, do § 2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 xml:space="preserve"> do art. 2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 xml:space="preserve"> da Lei n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 xml:space="preserve"> 4.320, de 1964;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Demonstrativo de compatibilidade da programação do orçamento com as metas fiscais estabelecidas na Lei de Diretrizes Orçamentárias, de acordo com o art. 5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, inciso I, da LC n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 xml:space="preserve"> 101/2000;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napToGrid w:val="0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Demonstrativo da fixação da despesa com pessoal e encargos sociais, para os Poderes Executivo e Legislativo, confrontando a sua totalização com a receita corrente líquida prevista, nos termos dos artigos 19 e 20 da LC n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 xml:space="preserve"> 101/2000;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Demonstrativo da previsão de aplicação das aplicações na Manutenção e Desenvolvimento do Ensino (MDE) e do Fundo de Manutenção e Desenvolvimento da Educação Básica e de Valorização dos Profissionais da Educação (FUNDEB);</w:t>
      </w:r>
      <w:r w:rsidRPr="00DD1BE7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bCs/>
          <w:sz w:val="24"/>
          <w:szCs w:val="24"/>
        </w:rPr>
      </w:pPr>
      <w:r w:rsidRPr="00DD1BE7">
        <w:rPr>
          <w:rFonts w:ascii="Arial" w:hAnsi="Arial" w:cs="Arial"/>
          <w:snapToGrid w:val="0"/>
          <w:sz w:val="24"/>
          <w:szCs w:val="24"/>
        </w:rPr>
        <w:t>D</w:t>
      </w:r>
      <w:r w:rsidRPr="00DD1BE7">
        <w:rPr>
          <w:rFonts w:ascii="Arial" w:hAnsi="Arial" w:cs="Arial"/>
          <w:sz w:val="24"/>
          <w:szCs w:val="24"/>
        </w:rPr>
        <w:t>emonstrativo da previsão da aplicação anual do Município em ações e serviços públicos de saúde (ASPS), conforme a Lei Complementar n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 xml:space="preserve"> 141, de 13 de janeiro de 2012;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bCs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 xml:space="preserve"> Demonstrativo do cálculo do limite máximo de despesa para a Câmara Municipal, conforme o artigo 29-A da Constituição Federal;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bCs/>
          <w:sz w:val="24"/>
          <w:szCs w:val="24"/>
        </w:rPr>
      </w:pPr>
      <w:r w:rsidRPr="00DD1BE7">
        <w:rPr>
          <w:rFonts w:ascii="Arial" w:hAnsi="Arial" w:cs="Arial"/>
          <w:bCs/>
          <w:sz w:val="24"/>
          <w:szCs w:val="24"/>
        </w:rPr>
        <w:lastRenderedPageBreak/>
        <w:t>Demonstrativo da Receita Corrente Líquida (RCL) projetada para 201</w:t>
      </w:r>
      <w:r w:rsidR="004B7886" w:rsidRPr="00DD1BE7">
        <w:rPr>
          <w:rFonts w:ascii="Arial" w:hAnsi="Arial" w:cs="Arial"/>
          <w:bCs/>
          <w:sz w:val="24"/>
          <w:szCs w:val="24"/>
        </w:rPr>
        <w:t>9</w:t>
      </w:r>
      <w:r w:rsidRPr="00DD1BE7">
        <w:rPr>
          <w:rFonts w:ascii="Arial" w:hAnsi="Arial" w:cs="Arial"/>
          <w:bCs/>
          <w:sz w:val="24"/>
          <w:szCs w:val="24"/>
        </w:rPr>
        <w:t xml:space="preserve"> (LRF, art. 12, § 3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>);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bCs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D</w:t>
      </w:r>
      <w:r w:rsidRPr="00DD1BE7">
        <w:rPr>
          <w:rFonts w:ascii="Arial" w:hAnsi="Arial" w:cs="Arial"/>
          <w:bCs/>
          <w:sz w:val="24"/>
          <w:szCs w:val="24"/>
        </w:rPr>
        <w:t>escrição sucinta de cada unidade administrativa e de suas principais finalidades com indicação da respectiva legislação (parágrafo único do art. 22 da Lei n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 xml:space="preserve"> 4.320, de 1964);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bCs/>
          <w:sz w:val="24"/>
          <w:szCs w:val="24"/>
        </w:rPr>
        <w:t>Quadro discriminativo da receita por fontes e respectiva legislação (inciso III, do § 1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>, do art. 2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 xml:space="preserve"> da Lei n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Cs/>
          <w:sz w:val="24"/>
          <w:szCs w:val="24"/>
        </w:rPr>
        <w:t xml:space="preserve"> 4.320, de 1964);</w:t>
      </w:r>
    </w:p>
    <w:p w:rsidR="00623A21" w:rsidRPr="00DD1BE7" w:rsidRDefault="00623A21" w:rsidP="00623A21">
      <w:pPr>
        <w:pStyle w:val="PargrafodaLista"/>
        <w:numPr>
          <w:ilvl w:val="0"/>
          <w:numId w:val="25"/>
        </w:numPr>
        <w:tabs>
          <w:tab w:val="clear" w:pos="708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A</w:t>
      </w:r>
      <w:r w:rsidRPr="00DD1BE7">
        <w:rPr>
          <w:rFonts w:ascii="Arial" w:hAnsi="Arial" w:cs="Arial"/>
          <w:sz w:val="24"/>
          <w:szCs w:val="24"/>
          <w:lang w:val="pt-PT"/>
        </w:rPr>
        <w:t>nexo demonstrativo da receita e da despesa por destinação e fonte de recursos;</w:t>
      </w:r>
    </w:p>
    <w:p w:rsidR="00623A21" w:rsidRPr="00DD1BE7" w:rsidRDefault="00623A21" w:rsidP="00623A2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DD1BE7">
        <w:rPr>
          <w:rFonts w:ascii="Arial" w:hAnsi="Arial" w:cs="Arial"/>
          <w:sz w:val="24"/>
          <w:szCs w:val="24"/>
          <w:lang w:val="pt-PT"/>
        </w:rPr>
        <w:t>§ 2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  <w:lang w:val="pt-PT"/>
        </w:rPr>
        <w:t>o</w:t>
      </w:r>
      <w:r w:rsidRPr="00DD1BE7">
        <w:rPr>
          <w:rFonts w:ascii="Arial" w:hAnsi="Arial" w:cs="Arial"/>
          <w:sz w:val="24"/>
          <w:szCs w:val="24"/>
          <w:lang w:val="pt-PT"/>
        </w:rPr>
        <w:t>. O anexo VII deste artigo atualiza os valores relativos às metas de resultados fiscais do anexo de metas fiscais de que trata a Lei de Diretrizes Orçamentárias, nos termos do art. 4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  <w:lang w:val="pt-PT"/>
        </w:rPr>
        <w:t>o</w:t>
      </w:r>
      <w:r w:rsidRPr="00DD1BE7">
        <w:rPr>
          <w:rFonts w:ascii="Arial" w:hAnsi="Arial" w:cs="Arial"/>
          <w:sz w:val="24"/>
          <w:szCs w:val="24"/>
          <w:lang w:val="pt-PT"/>
        </w:rPr>
        <w:t>, § 1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  <w:lang w:val="pt-PT"/>
        </w:rPr>
        <w:t>o</w:t>
      </w:r>
      <w:r w:rsidRPr="00DD1BE7">
        <w:rPr>
          <w:rFonts w:ascii="Arial" w:hAnsi="Arial" w:cs="Arial"/>
          <w:sz w:val="24"/>
          <w:szCs w:val="24"/>
          <w:lang w:val="pt-PT"/>
        </w:rPr>
        <w:t xml:space="preserve"> da LRF.</w:t>
      </w:r>
    </w:p>
    <w:p w:rsidR="00623A21" w:rsidRPr="00DD1BE7" w:rsidRDefault="00623A21" w:rsidP="00623A21">
      <w:pPr>
        <w:pStyle w:val="Corpodetexto3"/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b/>
          <w:bCs/>
          <w:sz w:val="24"/>
          <w:szCs w:val="24"/>
        </w:rPr>
        <w:t>Art. 2</w:t>
      </w:r>
      <w:r w:rsidRPr="00DD1BE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/>
          <w:bCs/>
          <w:sz w:val="24"/>
          <w:szCs w:val="24"/>
        </w:rPr>
        <w:t>.</w:t>
      </w:r>
      <w:r w:rsidRPr="00DD1BE7">
        <w:rPr>
          <w:rFonts w:ascii="Arial" w:hAnsi="Arial" w:cs="Arial"/>
          <w:sz w:val="24"/>
          <w:szCs w:val="24"/>
        </w:rPr>
        <w:t xml:space="preserve"> O Orçamento do Município, em obediência ao princípio do equilíbrio das contas públicas de que trata a Lei Complementar </w:t>
      </w:r>
      <w:r w:rsidRPr="00DD1BE7">
        <w:rPr>
          <w:rFonts w:ascii="Arial" w:hAnsi="Arial" w:cs="Arial"/>
          <w:bCs/>
          <w:sz w:val="24"/>
          <w:szCs w:val="24"/>
        </w:rPr>
        <w:t>n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 xml:space="preserve"> 101, de 2000, art. 1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, § 1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, fica estabelecido em igual valor entre a receita estimada e a soma da despesa fixada acrescida da reserva de contingência.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b/>
          <w:bCs/>
          <w:sz w:val="24"/>
          <w:szCs w:val="24"/>
        </w:rPr>
        <w:t>Art. 3</w:t>
      </w:r>
      <w:r w:rsidRPr="00DD1BE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/>
          <w:bCs/>
          <w:sz w:val="24"/>
          <w:szCs w:val="24"/>
        </w:rPr>
        <w:t>.</w:t>
      </w:r>
      <w:r w:rsidRPr="00DD1BE7">
        <w:rPr>
          <w:rFonts w:ascii="Arial" w:hAnsi="Arial" w:cs="Arial"/>
          <w:sz w:val="24"/>
          <w:szCs w:val="24"/>
        </w:rPr>
        <w:t xml:space="preserve"> Fica o Poder Executivo autorizado a abrir créditos suplementares, por Decreto, na Administração Direta e Indireta, observados os </w:t>
      </w:r>
      <w:proofErr w:type="spellStart"/>
      <w:r w:rsidRPr="00DD1BE7">
        <w:rPr>
          <w:rFonts w:ascii="Arial" w:hAnsi="Arial" w:cs="Arial"/>
          <w:sz w:val="24"/>
          <w:szCs w:val="24"/>
        </w:rPr>
        <w:t>arts</w:t>
      </w:r>
      <w:proofErr w:type="spellEnd"/>
      <w:r w:rsidRPr="00DD1BE7">
        <w:rPr>
          <w:rFonts w:ascii="Arial" w:hAnsi="Arial" w:cs="Arial"/>
          <w:sz w:val="24"/>
          <w:szCs w:val="24"/>
        </w:rPr>
        <w:t>. 8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, 9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 xml:space="preserve"> e 13 da Lei Complementar </w:t>
      </w:r>
      <w:r w:rsidRPr="00DD1BE7">
        <w:rPr>
          <w:rFonts w:ascii="Arial" w:hAnsi="Arial" w:cs="Arial"/>
          <w:bCs/>
          <w:sz w:val="24"/>
          <w:szCs w:val="24"/>
        </w:rPr>
        <w:t>n</w:t>
      </w:r>
      <w:r w:rsidRPr="00DD1BE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 xml:space="preserve"> 101, de 2000, mediante a utilização dos recursos: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I) da anulação parcial ou total de dotações orçamentárias, nos termos do art. 43, § 1</w:t>
      </w:r>
      <w:r w:rsidRPr="00DD1BE7">
        <w:rPr>
          <w:rFonts w:ascii="Arial" w:hAnsi="Arial" w:cs="Arial"/>
          <w:sz w:val="24"/>
          <w:szCs w:val="24"/>
          <w:u w:val="words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, inciso III, da Lei n</w:t>
      </w:r>
      <w:r w:rsidRPr="00DD1BE7">
        <w:rPr>
          <w:rFonts w:ascii="Arial" w:hAnsi="Arial" w:cs="Arial"/>
          <w:sz w:val="24"/>
          <w:szCs w:val="24"/>
          <w:u w:val="words"/>
          <w:vertAlign w:val="superscript"/>
        </w:rPr>
        <w:t xml:space="preserve">o </w:t>
      </w:r>
      <w:r w:rsidRPr="00DD1BE7">
        <w:rPr>
          <w:rFonts w:ascii="Arial" w:hAnsi="Arial" w:cs="Arial"/>
          <w:sz w:val="24"/>
          <w:szCs w:val="24"/>
        </w:rPr>
        <w:t>4.320, de 17 de março de 1964, até o limite de 15% (quinze por cento) do somatório da receita total projetada, inclusive a previsão adicional (reestimativa), ou despesa fixada no caso de entidades que não possuam receitas próprias;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II) da Reserva de Contingência, com valores específicos para este fim no anexo de riscos fiscais;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III) de excesso de arrecadação proveniente de receitas livres ou vinculadas arrecadadas e a arrecadar, desde que para alocação nos mesmos créditos orçamentários em que os recursos dessas fontes foram originalmente programados;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IV) superávit financeiro apurado em balanço do exercício anterior, de acordo com as vinculações originais.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851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>§ 1º Os limites autorizados no inciso I deste artigo não serão onerados quando o Crédito Adicional Suplementar se destinar a atender: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0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ab/>
        <w:t>I - Insuficiência de dotações do Grupo de Natureza da Despesa 1 – Pessoal e Encargos Sociais, mediante a utilização de recursos oriundos de anulação de despesas consignadas ao mesmo grupo;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0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ab/>
        <w:t>II - Pagamentos de despesas decorrentes de precatórios judiciais, amortização, juros e encargos da dívida.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0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ab/>
        <w:t>III - Despesas financiadas com recursos provenientes de operações de crédito, alienação de bens e transferências voluntárias da União e do Estado;</w:t>
      </w:r>
    </w:p>
    <w:p w:rsidR="00623A21" w:rsidRPr="00DD1BE7" w:rsidRDefault="00623A21" w:rsidP="00623A21">
      <w:pPr>
        <w:pStyle w:val="inciso"/>
        <w:tabs>
          <w:tab w:val="left" w:pos="0"/>
        </w:tabs>
        <w:spacing w:before="0" w:after="120"/>
        <w:ind w:firstLine="0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ab/>
        <w:t>V – As disposições dos incisos II e III não se aplicam ao Poder Legislativo;</w:t>
      </w:r>
    </w:p>
    <w:p w:rsidR="00623A21" w:rsidRPr="00DD1BE7" w:rsidRDefault="00623A21" w:rsidP="00623A2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ab/>
        <w:t>§ 2º. Também poderá ser considerado como superávit financeiro do exercício anterior, para fins do inciso IV do caput, os recursos que forem disponibilizados a partir do cancelamento de restos a pagar durante o exercício de 201</w:t>
      </w:r>
      <w:r w:rsidR="001D1FB7">
        <w:rPr>
          <w:rFonts w:ascii="Arial" w:hAnsi="Arial" w:cs="Arial"/>
          <w:sz w:val="24"/>
          <w:szCs w:val="24"/>
        </w:rPr>
        <w:t>9</w:t>
      </w:r>
      <w:r w:rsidRPr="00DD1BE7">
        <w:rPr>
          <w:rFonts w:ascii="Arial" w:hAnsi="Arial" w:cs="Arial"/>
          <w:sz w:val="24"/>
          <w:szCs w:val="24"/>
        </w:rPr>
        <w:t>, obedecida a fonte de recursos correspondente.</w:t>
      </w:r>
    </w:p>
    <w:p w:rsidR="00623A21" w:rsidRPr="00DD1BE7" w:rsidRDefault="00623A21" w:rsidP="00623A2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lastRenderedPageBreak/>
        <w:tab/>
        <w:t>§ 3</w:t>
      </w:r>
      <w:r w:rsidRPr="00DD1BE7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/>
          <w:sz w:val="24"/>
          <w:szCs w:val="24"/>
        </w:rPr>
        <w:t>.</w:t>
      </w:r>
      <w:r w:rsidRPr="00DD1BE7">
        <w:rPr>
          <w:rFonts w:ascii="Arial" w:hAnsi="Arial" w:cs="Arial"/>
          <w:sz w:val="24"/>
          <w:szCs w:val="24"/>
        </w:rPr>
        <w:t xml:space="preserve"> Poderão ser utilizadas, para efeitos de créditos adicionais, reduções de valores atribuídos a créditos orçamentários de diferentes unidades gestoras do orçamento, sendo que os créditos adicionais especiais que envolvam o Poder Legislativo deverão possuir autorização expressa daquele Poder.</w:t>
      </w:r>
    </w:p>
    <w:p w:rsidR="00623A21" w:rsidRPr="00DD1BE7" w:rsidRDefault="00623A21" w:rsidP="00623A21">
      <w:p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D1BE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D1BE7">
        <w:rPr>
          <w:rFonts w:ascii="Arial" w:hAnsi="Arial" w:cs="Arial"/>
          <w:snapToGrid w:val="0"/>
          <w:sz w:val="24"/>
          <w:szCs w:val="24"/>
        </w:rPr>
        <w:tab/>
      </w:r>
      <w:r w:rsidRPr="00DD1BE7">
        <w:rPr>
          <w:rFonts w:ascii="Arial" w:hAnsi="Arial" w:cs="Arial"/>
          <w:b/>
          <w:bCs/>
          <w:sz w:val="24"/>
          <w:szCs w:val="24"/>
        </w:rPr>
        <w:t>Art. 4</w:t>
      </w:r>
      <w:r w:rsidRPr="00DD1BE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/>
          <w:bCs/>
          <w:sz w:val="24"/>
          <w:szCs w:val="24"/>
        </w:rPr>
        <w:t>.</w:t>
      </w:r>
      <w:r w:rsidRPr="00DD1BE7">
        <w:rPr>
          <w:rFonts w:ascii="Arial" w:hAnsi="Arial" w:cs="Arial"/>
          <w:snapToGrid w:val="0"/>
          <w:sz w:val="24"/>
          <w:szCs w:val="24"/>
        </w:rPr>
        <w:t xml:space="preserve"> Obedecidas as disposições da Lei de Diretrizes Orçamentárias, as transferências financeiras destinadas à Câmara Municipal serão disponibilizadas até o dia 20 de cada mês.</w:t>
      </w:r>
    </w:p>
    <w:p w:rsidR="00623A21" w:rsidRPr="00DD1BE7" w:rsidRDefault="00623A21" w:rsidP="00623A21">
      <w:pPr>
        <w:pStyle w:val="PAR01"/>
        <w:tabs>
          <w:tab w:val="clear" w:pos="14459"/>
        </w:tabs>
        <w:spacing w:after="120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 xml:space="preserve"> </w:t>
      </w:r>
      <w:r w:rsidRPr="00DD1BE7">
        <w:rPr>
          <w:rFonts w:ascii="Arial" w:hAnsi="Arial" w:cs="Arial"/>
          <w:sz w:val="24"/>
          <w:szCs w:val="24"/>
        </w:rPr>
        <w:tab/>
      </w:r>
      <w:r w:rsidRPr="00DD1BE7">
        <w:rPr>
          <w:rFonts w:ascii="Arial" w:hAnsi="Arial" w:cs="Arial"/>
          <w:b/>
          <w:bCs/>
          <w:sz w:val="24"/>
          <w:szCs w:val="24"/>
        </w:rPr>
        <w:t>Art. 5</w:t>
      </w:r>
      <w:r w:rsidRPr="00DD1BE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/>
          <w:bCs/>
          <w:sz w:val="24"/>
          <w:szCs w:val="24"/>
        </w:rPr>
        <w:t>.</w:t>
      </w:r>
      <w:r w:rsidRPr="00DD1BE7">
        <w:rPr>
          <w:rFonts w:ascii="Arial" w:hAnsi="Arial" w:cs="Arial"/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623A21" w:rsidRPr="00DD1BE7" w:rsidRDefault="00623A21" w:rsidP="00623A2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sz w:val="24"/>
          <w:szCs w:val="24"/>
        </w:rPr>
        <w:tab/>
      </w:r>
      <w:r w:rsidRPr="00DD1BE7">
        <w:rPr>
          <w:rFonts w:ascii="Arial" w:hAnsi="Arial" w:cs="Arial"/>
          <w:b/>
          <w:bCs/>
          <w:sz w:val="24"/>
          <w:szCs w:val="24"/>
        </w:rPr>
        <w:t>Art. 6</w:t>
      </w:r>
      <w:r w:rsidRPr="00DD1BE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/>
          <w:bCs/>
          <w:sz w:val="24"/>
          <w:szCs w:val="24"/>
        </w:rPr>
        <w:t>.</w:t>
      </w:r>
      <w:r w:rsidRPr="00DD1BE7">
        <w:rPr>
          <w:rFonts w:ascii="Arial" w:hAnsi="Arial" w:cs="Arial"/>
          <w:sz w:val="24"/>
          <w:szCs w:val="24"/>
        </w:rPr>
        <w:t xml:space="preserve"> Ficam automaticamente atualizados, com base nos valores desta Lei, o montante previsto para as receitas, despesas, resultado primário e resultado nominal previstos na Lei Municipal 1.</w:t>
      </w:r>
      <w:r w:rsidR="00C80211" w:rsidRPr="00DD1BE7">
        <w:rPr>
          <w:rFonts w:ascii="Arial" w:hAnsi="Arial" w:cs="Arial"/>
          <w:sz w:val="24"/>
          <w:szCs w:val="24"/>
        </w:rPr>
        <w:t>977, de 28 de setembro de 2018,</w:t>
      </w:r>
      <w:r w:rsidRPr="00DD1BE7">
        <w:rPr>
          <w:rFonts w:ascii="Arial" w:hAnsi="Arial" w:cs="Arial"/>
          <w:sz w:val="24"/>
          <w:szCs w:val="24"/>
        </w:rPr>
        <w:t xml:space="preserve"> que dispõe sobre as Diretrizes Orçamentárias para o exercício de 201</w:t>
      </w:r>
      <w:r w:rsidR="00390618" w:rsidRPr="00DD1BE7">
        <w:rPr>
          <w:rFonts w:ascii="Arial" w:hAnsi="Arial" w:cs="Arial"/>
          <w:sz w:val="24"/>
          <w:szCs w:val="24"/>
        </w:rPr>
        <w:t>9</w:t>
      </w:r>
      <w:r w:rsidRPr="00DD1BE7">
        <w:rPr>
          <w:rFonts w:ascii="Arial" w:hAnsi="Arial" w:cs="Arial"/>
          <w:sz w:val="24"/>
          <w:szCs w:val="24"/>
        </w:rPr>
        <w:t>.</w:t>
      </w:r>
    </w:p>
    <w:p w:rsidR="00623A21" w:rsidRPr="00DD1BE7" w:rsidRDefault="00623A21" w:rsidP="00623A2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b/>
          <w:sz w:val="24"/>
          <w:szCs w:val="24"/>
        </w:rPr>
        <w:t>Art. 7</w:t>
      </w:r>
      <w:r w:rsidRPr="00DD1BE7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>. Fica o Poder Executivo autorizado a realizar operações de crédito por antecipação de receita orçamentária no decorrer do exercício, atendidas as disposições do artigo 38 da Lei Complementar n</w:t>
      </w:r>
      <w:r w:rsidRPr="00DD1BE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sz w:val="24"/>
          <w:szCs w:val="24"/>
        </w:rPr>
        <w:t xml:space="preserve"> 101, de 2000 e Resoluções do Senado Federal que dispõem sobre a matéria.</w:t>
      </w:r>
    </w:p>
    <w:p w:rsidR="00623A21" w:rsidRPr="00DD1BE7" w:rsidRDefault="00623A21" w:rsidP="00623A2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D1BE7">
        <w:rPr>
          <w:rFonts w:ascii="Arial" w:hAnsi="Arial" w:cs="Arial"/>
          <w:b/>
          <w:sz w:val="24"/>
          <w:szCs w:val="24"/>
        </w:rPr>
        <w:tab/>
        <w:t>Art. 8</w:t>
      </w:r>
      <w:r w:rsidRPr="00DD1BE7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D1BE7">
        <w:rPr>
          <w:rFonts w:ascii="Arial" w:hAnsi="Arial" w:cs="Arial"/>
          <w:b/>
          <w:sz w:val="24"/>
          <w:szCs w:val="24"/>
        </w:rPr>
        <w:t>.</w:t>
      </w:r>
      <w:r w:rsidRPr="00DD1BE7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360116" w:rsidRPr="00DD1BE7" w:rsidRDefault="00390618" w:rsidP="00215162">
      <w:pPr>
        <w:pStyle w:val="Padro"/>
        <w:spacing w:after="0"/>
        <w:jc w:val="right"/>
        <w:rPr>
          <w:rFonts w:ascii="Arial" w:hAnsi="Arial" w:cs="Arial"/>
          <w:color w:val="auto"/>
          <w:sz w:val="24"/>
          <w:szCs w:val="24"/>
        </w:rPr>
      </w:pPr>
      <w:r w:rsidRPr="00DD1BE7">
        <w:rPr>
          <w:rFonts w:ascii="Arial" w:hAnsi="Arial" w:cs="Arial"/>
          <w:color w:val="auto"/>
          <w:sz w:val="24"/>
          <w:szCs w:val="24"/>
        </w:rPr>
        <w:t>Arroio do Padre, 26</w:t>
      </w:r>
      <w:r w:rsidR="001F1225" w:rsidRPr="00DD1BE7">
        <w:rPr>
          <w:rFonts w:ascii="Arial" w:hAnsi="Arial" w:cs="Arial"/>
          <w:color w:val="auto"/>
          <w:sz w:val="24"/>
          <w:szCs w:val="24"/>
        </w:rPr>
        <w:t xml:space="preserve"> de outubro</w:t>
      </w:r>
      <w:r w:rsidR="00360116" w:rsidRPr="00DD1BE7">
        <w:rPr>
          <w:rFonts w:ascii="Arial" w:hAnsi="Arial" w:cs="Arial"/>
          <w:color w:val="auto"/>
          <w:sz w:val="24"/>
          <w:szCs w:val="24"/>
        </w:rPr>
        <w:t xml:space="preserve"> de 2018. </w:t>
      </w:r>
    </w:p>
    <w:p w:rsidR="002B63F9" w:rsidRPr="00DD1BE7" w:rsidRDefault="002B63F9" w:rsidP="00215162">
      <w:pPr>
        <w:pStyle w:val="Padro"/>
        <w:spacing w:after="0"/>
        <w:rPr>
          <w:rFonts w:ascii="Arial" w:hAnsi="Arial" w:cs="Arial"/>
          <w:color w:val="auto"/>
          <w:sz w:val="24"/>
          <w:szCs w:val="24"/>
        </w:rPr>
      </w:pPr>
    </w:p>
    <w:p w:rsidR="00215162" w:rsidRPr="00DD1BE7" w:rsidRDefault="00215162" w:rsidP="00215162">
      <w:pPr>
        <w:pStyle w:val="Padro"/>
        <w:spacing w:after="0"/>
        <w:rPr>
          <w:rFonts w:ascii="Arial" w:hAnsi="Arial" w:cs="Arial"/>
          <w:color w:val="auto"/>
          <w:sz w:val="24"/>
          <w:szCs w:val="24"/>
        </w:rPr>
      </w:pPr>
      <w:r w:rsidRPr="00DD1BE7">
        <w:rPr>
          <w:rFonts w:ascii="Arial" w:hAnsi="Arial" w:cs="Arial"/>
          <w:color w:val="auto"/>
          <w:sz w:val="24"/>
          <w:szCs w:val="24"/>
        </w:rPr>
        <w:t>Visto técnico:</w:t>
      </w:r>
    </w:p>
    <w:p w:rsidR="00215162" w:rsidRPr="00DD1BE7" w:rsidRDefault="00215162" w:rsidP="00215162">
      <w:pPr>
        <w:pStyle w:val="Padro"/>
        <w:spacing w:after="0"/>
        <w:rPr>
          <w:rFonts w:ascii="Arial" w:hAnsi="Arial" w:cs="Arial"/>
          <w:color w:val="auto"/>
          <w:sz w:val="24"/>
          <w:szCs w:val="24"/>
        </w:rPr>
      </w:pPr>
    </w:p>
    <w:p w:rsidR="00215162" w:rsidRPr="00DD1BE7" w:rsidRDefault="00215162" w:rsidP="00215162">
      <w:pPr>
        <w:pStyle w:val="Padro"/>
        <w:spacing w:after="0"/>
        <w:rPr>
          <w:rFonts w:ascii="Arial" w:hAnsi="Arial" w:cs="Arial"/>
          <w:color w:val="auto"/>
          <w:sz w:val="24"/>
          <w:szCs w:val="24"/>
        </w:rPr>
      </w:pPr>
      <w:proofErr w:type="spellStart"/>
      <w:r w:rsidRPr="00DD1BE7">
        <w:rPr>
          <w:rFonts w:ascii="Arial" w:hAnsi="Arial" w:cs="Arial"/>
          <w:color w:val="auto"/>
          <w:sz w:val="24"/>
          <w:szCs w:val="24"/>
        </w:rPr>
        <w:t>Loutar</w:t>
      </w:r>
      <w:proofErr w:type="spellEnd"/>
      <w:r w:rsidRPr="00DD1B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DD1BE7">
        <w:rPr>
          <w:rFonts w:ascii="Arial" w:hAnsi="Arial" w:cs="Arial"/>
          <w:color w:val="auto"/>
          <w:sz w:val="24"/>
          <w:szCs w:val="24"/>
        </w:rPr>
        <w:t>Prieb</w:t>
      </w:r>
      <w:proofErr w:type="spellEnd"/>
    </w:p>
    <w:p w:rsidR="00215162" w:rsidRPr="00DD1BE7" w:rsidRDefault="00215162" w:rsidP="00215162">
      <w:pPr>
        <w:pStyle w:val="Padro"/>
        <w:spacing w:after="0"/>
        <w:rPr>
          <w:rFonts w:ascii="Arial" w:hAnsi="Arial" w:cs="Arial"/>
          <w:color w:val="auto"/>
          <w:sz w:val="24"/>
          <w:szCs w:val="24"/>
        </w:rPr>
      </w:pPr>
      <w:r w:rsidRPr="00DD1BE7">
        <w:rPr>
          <w:rFonts w:ascii="Arial" w:hAnsi="Arial" w:cs="Arial"/>
          <w:color w:val="auto"/>
          <w:sz w:val="24"/>
          <w:szCs w:val="24"/>
        </w:rPr>
        <w:t xml:space="preserve">Secretário de Administração, Planejamento,                     </w:t>
      </w:r>
    </w:p>
    <w:p w:rsidR="00215162" w:rsidRPr="00DD1BE7" w:rsidRDefault="00215162" w:rsidP="00215162">
      <w:pPr>
        <w:pStyle w:val="Padro"/>
        <w:spacing w:after="0"/>
        <w:rPr>
          <w:rFonts w:ascii="Arial" w:hAnsi="Arial" w:cs="Arial"/>
          <w:color w:val="auto"/>
          <w:sz w:val="24"/>
          <w:szCs w:val="24"/>
        </w:rPr>
      </w:pPr>
      <w:r w:rsidRPr="00DD1BE7">
        <w:rPr>
          <w:rFonts w:ascii="Arial" w:hAnsi="Arial" w:cs="Arial"/>
          <w:color w:val="auto"/>
          <w:sz w:val="24"/>
          <w:szCs w:val="24"/>
        </w:rPr>
        <w:t xml:space="preserve">Finanças, Gestão e Tributos                                                 </w:t>
      </w:r>
    </w:p>
    <w:p w:rsidR="003C66CD" w:rsidRPr="00DD1BE7" w:rsidRDefault="003C66CD" w:rsidP="00215162">
      <w:pPr>
        <w:pStyle w:val="Padro"/>
        <w:spacing w:after="0"/>
        <w:rPr>
          <w:rFonts w:ascii="Arial" w:hAnsi="Arial" w:cs="Arial"/>
          <w:color w:val="auto"/>
          <w:sz w:val="24"/>
          <w:szCs w:val="24"/>
        </w:rPr>
      </w:pPr>
    </w:p>
    <w:p w:rsidR="00390618" w:rsidRPr="00DD1BE7" w:rsidRDefault="00390618" w:rsidP="00215162">
      <w:pPr>
        <w:pStyle w:val="Padro"/>
        <w:spacing w:after="0"/>
        <w:rPr>
          <w:rFonts w:ascii="Arial" w:hAnsi="Arial" w:cs="Arial"/>
          <w:color w:val="auto"/>
          <w:sz w:val="24"/>
          <w:szCs w:val="24"/>
        </w:rPr>
      </w:pPr>
    </w:p>
    <w:p w:rsidR="00360116" w:rsidRPr="00DD1BE7" w:rsidRDefault="00360116" w:rsidP="00215162">
      <w:pPr>
        <w:pStyle w:val="Padro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DD1BE7">
        <w:rPr>
          <w:rFonts w:ascii="Arial" w:hAnsi="Arial" w:cs="Arial"/>
          <w:color w:val="auto"/>
          <w:sz w:val="24"/>
          <w:szCs w:val="24"/>
        </w:rPr>
        <w:t xml:space="preserve">Leonir </w:t>
      </w:r>
      <w:proofErr w:type="spellStart"/>
      <w:r w:rsidRPr="00DD1BE7">
        <w:rPr>
          <w:rFonts w:ascii="Arial" w:hAnsi="Arial" w:cs="Arial"/>
          <w:color w:val="auto"/>
          <w:sz w:val="24"/>
          <w:szCs w:val="24"/>
        </w:rPr>
        <w:t>Aldrighi</w:t>
      </w:r>
      <w:proofErr w:type="spellEnd"/>
      <w:r w:rsidRPr="00DD1B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DD1BE7">
        <w:rPr>
          <w:rFonts w:ascii="Arial" w:hAnsi="Arial" w:cs="Arial"/>
          <w:color w:val="auto"/>
          <w:sz w:val="24"/>
          <w:szCs w:val="24"/>
        </w:rPr>
        <w:t>Baschi</w:t>
      </w:r>
      <w:proofErr w:type="spellEnd"/>
    </w:p>
    <w:p w:rsidR="00360116" w:rsidRPr="00DD1BE7" w:rsidRDefault="00433B99" w:rsidP="00215162">
      <w:pPr>
        <w:pStyle w:val="Padro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DD1BE7">
        <w:rPr>
          <w:rFonts w:ascii="Arial" w:hAnsi="Arial" w:cs="Arial"/>
          <w:color w:val="auto"/>
          <w:sz w:val="24"/>
          <w:szCs w:val="24"/>
        </w:rPr>
        <w:t>Prefeito Municipal</w:t>
      </w:r>
    </w:p>
    <w:p w:rsidR="00DD1BE7" w:rsidRPr="00DD1BE7" w:rsidRDefault="00DD1BE7">
      <w:pPr>
        <w:pStyle w:val="Padro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DD1BE7" w:rsidRPr="00DD1BE7" w:rsidSect="00215162">
      <w:headerReference w:type="default" r:id="rId9"/>
      <w:pgSz w:w="11906" w:h="16838"/>
      <w:pgMar w:top="-1135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74" w:rsidRDefault="00CF1D74">
      <w:pPr>
        <w:spacing w:after="0" w:line="240" w:lineRule="auto"/>
      </w:pPr>
      <w:r>
        <w:separator/>
      </w:r>
    </w:p>
  </w:endnote>
  <w:endnote w:type="continuationSeparator" w:id="0">
    <w:p w:rsidR="00CF1D74" w:rsidRDefault="00C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74" w:rsidRDefault="00CF1D74">
      <w:pPr>
        <w:spacing w:after="0" w:line="240" w:lineRule="auto"/>
      </w:pPr>
      <w:r>
        <w:separator/>
      </w:r>
    </w:p>
  </w:footnote>
  <w:footnote w:type="continuationSeparator" w:id="0">
    <w:p w:rsidR="00CF1D74" w:rsidRDefault="00C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65B5A"/>
    <w:multiLevelType w:val="hybridMultilevel"/>
    <w:tmpl w:val="C8702012"/>
    <w:lvl w:ilvl="0" w:tplc="A8B833E6">
      <w:start w:val="1"/>
      <w:numFmt w:val="upperRoman"/>
      <w:lvlText w:val="%1 -"/>
      <w:lvlJc w:val="right"/>
      <w:pPr>
        <w:ind w:left="163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1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6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1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3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4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13"/>
  </w:num>
  <w:num w:numId="15">
    <w:abstractNumId w:val="18"/>
  </w:num>
  <w:num w:numId="16">
    <w:abstractNumId w:val="23"/>
  </w:num>
  <w:num w:numId="17">
    <w:abstractNumId w:val="21"/>
  </w:num>
  <w:num w:numId="18">
    <w:abstractNumId w:val="6"/>
  </w:num>
  <w:num w:numId="19">
    <w:abstractNumId w:val="8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835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5B8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9CB"/>
    <w:rsid w:val="000C5449"/>
    <w:rsid w:val="000D10F6"/>
    <w:rsid w:val="000D36E2"/>
    <w:rsid w:val="000D4E0D"/>
    <w:rsid w:val="000E4AB0"/>
    <w:rsid w:val="0010057B"/>
    <w:rsid w:val="00104841"/>
    <w:rsid w:val="00104D63"/>
    <w:rsid w:val="0011529A"/>
    <w:rsid w:val="00116FCB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43B9"/>
    <w:rsid w:val="001A5239"/>
    <w:rsid w:val="001A7FAE"/>
    <w:rsid w:val="001B0742"/>
    <w:rsid w:val="001B179F"/>
    <w:rsid w:val="001B48B8"/>
    <w:rsid w:val="001B6B7D"/>
    <w:rsid w:val="001B7CA7"/>
    <w:rsid w:val="001C19E6"/>
    <w:rsid w:val="001C1A7A"/>
    <w:rsid w:val="001C5EE6"/>
    <w:rsid w:val="001D1FB7"/>
    <w:rsid w:val="001D24DD"/>
    <w:rsid w:val="001D63E8"/>
    <w:rsid w:val="001E53D1"/>
    <w:rsid w:val="001E5D94"/>
    <w:rsid w:val="001F1225"/>
    <w:rsid w:val="001F29F2"/>
    <w:rsid w:val="002047A3"/>
    <w:rsid w:val="00204AA9"/>
    <w:rsid w:val="0021044A"/>
    <w:rsid w:val="002149DC"/>
    <w:rsid w:val="00214D53"/>
    <w:rsid w:val="00215162"/>
    <w:rsid w:val="00215375"/>
    <w:rsid w:val="00220BAA"/>
    <w:rsid w:val="002253F0"/>
    <w:rsid w:val="0022634C"/>
    <w:rsid w:val="0023259C"/>
    <w:rsid w:val="002401C0"/>
    <w:rsid w:val="00240ECD"/>
    <w:rsid w:val="00241E73"/>
    <w:rsid w:val="00243280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0972"/>
    <w:rsid w:val="00281491"/>
    <w:rsid w:val="00282FE4"/>
    <w:rsid w:val="0028340F"/>
    <w:rsid w:val="0029034E"/>
    <w:rsid w:val="0029323F"/>
    <w:rsid w:val="002A703D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3708"/>
    <w:rsid w:val="002E43BD"/>
    <w:rsid w:val="002E5BCF"/>
    <w:rsid w:val="002E60D1"/>
    <w:rsid w:val="002F0F61"/>
    <w:rsid w:val="002F1CC3"/>
    <w:rsid w:val="002F1D4A"/>
    <w:rsid w:val="002F70D1"/>
    <w:rsid w:val="003001CB"/>
    <w:rsid w:val="00301D96"/>
    <w:rsid w:val="0030202E"/>
    <w:rsid w:val="003022C8"/>
    <w:rsid w:val="003057E5"/>
    <w:rsid w:val="00305E24"/>
    <w:rsid w:val="0030617A"/>
    <w:rsid w:val="0030745E"/>
    <w:rsid w:val="00311DED"/>
    <w:rsid w:val="00312362"/>
    <w:rsid w:val="00315FD8"/>
    <w:rsid w:val="00317DC6"/>
    <w:rsid w:val="0032300C"/>
    <w:rsid w:val="00330FDD"/>
    <w:rsid w:val="003310F0"/>
    <w:rsid w:val="0033275D"/>
    <w:rsid w:val="00342C21"/>
    <w:rsid w:val="0034389A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447B"/>
    <w:rsid w:val="0038539C"/>
    <w:rsid w:val="00387F4D"/>
    <w:rsid w:val="00390618"/>
    <w:rsid w:val="003926FE"/>
    <w:rsid w:val="003928D4"/>
    <w:rsid w:val="00393D76"/>
    <w:rsid w:val="0039541E"/>
    <w:rsid w:val="003A056A"/>
    <w:rsid w:val="003A0EE7"/>
    <w:rsid w:val="003A0F84"/>
    <w:rsid w:val="003A6CDF"/>
    <w:rsid w:val="003A6D6A"/>
    <w:rsid w:val="003B4FBC"/>
    <w:rsid w:val="003B5D7A"/>
    <w:rsid w:val="003B65EA"/>
    <w:rsid w:val="003C261E"/>
    <w:rsid w:val="003C2B74"/>
    <w:rsid w:val="003C66CD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3B9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886"/>
    <w:rsid w:val="004B7CED"/>
    <w:rsid w:val="004C077B"/>
    <w:rsid w:val="004C0ADD"/>
    <w:rsid w:val="004C15EB"/>
    <w:rsid w:val="004C7C53"/>
    <w:rsid w:val="004D10FB"/>
    <w:rsid w:val="004D1E0A"/>
    <w:rsid w:val="004D44C6"/>
    <w:rsid w:val="004D5D60"/>
    <w:rsid w:val="004D6362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1B93"/>
    <w:rsid w:val="005675BF"/>
    <w:rsid w:val="005678CC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3A21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44AB6"/>
    <w:rsid w:val="00646FB9"/>
    <w:rsid w:val="006539BA"/>
    <w:rsid w:val="00653BD3"/>
    <w:rsid w:val="0066045C"/>
    <w:rsid w:val="00662427"/>
    <w:rsid w:val="00662879"/>
    <w:rsid w:val="00663F79"/>
    <w:rsid w:val="00665883"/>
    <w:rsid w:val="006670ED"/>
    <w:rsid w:val="0066798D"/>
    <w:rsid w:val="00667F3C"/>
    <w:rsid w:val="0067189C"/>
    <w:rsid w:val="00671D6A"/>
    <w:rsid w:val="00671F9C"/>
    <w:rsid w:val="00674BE4"/>
    <w:rsid w:val="006761C0"/>
    <w:rsid w:val="00676EC1"/>
    <w:rsid w:val="0068198A"/>
    <w:rsid w:val="00682B91"/>
    <w:rsid w:val="00684E42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13047"/>
    <w:rsid w:val="00713064"/>
    <w:rsid w:val="00716A5F"/>
    <w:rsid w:val="00721E0F"/>
    <w:rsid w:val="00722694"/>
    <w:rsid w:val="00722E90"/>
    <w:rsid w:val="007279C1"/>
    <w:rsid w:val="00727A09"/>
    <w:rsid w:val="00743879"/>
    <w:rsid w:val="0074642B"/>
    <w:rsid w:val="00750C43"/>
    <w:rsid w:val="00751472"/>
    <w:rsid w:val="0075222A"/>
    <w:rsid w:val="00753FBE"/>
    <w:rsid w:val="007556DF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3CE"/>
    <w:rsid w:val="007C5DAE"/>
    <w:rsid w:val="007D2501"/>
    <w:rsid w:val="007E3E12"/>
    <w:rsid w:val="007E4F9E"/>
    <w:rsid w:val="007E53ED"/>
    <w:rsid w:val="007E7AE4"/>
    <w:rsid w:val="007F2372"/>
    <w:rsid w:val="008005BB"/>
    <w:rsid w:val="00800CB7"/>
    <w:rsid w:val="008153FD"/>
    <w:rsid w:val="00817BED"/>
    <w:rsid w:val="00823664"/>
    <w:rsid w:val="00827F07"/>
    <w:rsid w:val="00830C65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908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35B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1C7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1EFB"/>
    <w:rsid w:val="009B325B"/>
    <w:rsid w:val="009B66EA"/>
    <w:rsid w:val="009C0BA8"/>
    <w:rsid w:val="009C1588"/>
    <w:rsid w:val="009D1044"/>
    <w:rsid w:val="009D2304"/>
    <w:rsid w:val="009D2FE3"/>
    <w:rsid w:val="009D4355"/>
    <w:rsid w:val="009D4461"/>
    <w:rsid w:val="009D62A1"/>
    <w:rsid w:val="009E1F4F"/>
    <w:rsid w:val="009E3AB7"/>
    <w:rsid w:val="009E423B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20F4C"/>
    <w:rsid w:val="00A41E0F"/>
    <w:rsid w:val="00A42CA5"/>
    <w:rsid w:val="00A46C5B"/>
    <w:rsid w:val="00A50E1C"/>
    <w:rsid w:val="00A51E8D"/>
    <w:rsid w:val="00A52DD5"/>
    <w:rsid w:val="00A556B1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675"/>
    <w:rsid w:val="00AA7F4C"/>
    <w:rsid w:val="00AB0AF0"/>
    <w:rsid w:val="00AB1053"/>
    <w:rsid w:val="00AC070D"/>
    <w:rsid w:val="00AC119E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60DF"/>
    <w:rsid w:val="00B07403"/>
    <w:rsid w:val="00B07C0D"/>
    <w:rsid w:val="00B101D6"/>
    <w:rsid w:val="00B15E16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0083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33CF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570BA"/>
    <w:rsid w:val="00C606F2"/>
    <w:rsid w:val="00C627D0"/>
    <w:rsid w:val="00C6593B"/>
    <w:rsid w:val="00C674AB"/>
    <w:rsid w:val="00C7074C"/>
    <w:rsid w:val="00C733ED"/>
    <w:rsid w:val="00C75202"/>
    <w:rsid w:val="00C80211"/>
    <w:rsid w:val="00C82D36"/>
    <w:rsid w:val="00C857D8"/>
    <w:rsid w:val="00C90817"/>
    <w:rsid w:val="00C9145A"/>
    <w:rsid w:val="00C9236A"/>
    <w:rsid w:val="00C94682"/>
    <w:rsid w:val="00C94C80"/>
    <w:rsid w:val="00C9537B"/>
    <w:rsid w:val="00C95553"/>
    <w:rsid w:val="00C96960"/>
    <w:rsid w:val="00CA28FF"/>
    <w:rsid w:val="00CA4B0C"/>
    <w:rsid w:val="00CA4CDC"/>
    <w:rsid w:val="00CB0138"/>
    <w:rsid w:val="00CB0374"/>
    <w:rsid w:val="00CB2417"/>
    <w:rsid w:val="00CB2859"/>
    <w:rsid w:val="00CB4819"/>
    <w:rsid w:val="00CB4EBD"/>
    <w:rsid w:val="00CB5358"/>
    <w:rsid w:val="00CB6CB8"/>
    <w:rsid w:val="00CB73D1"/>
    <w:rsid w:val="00CC03FB"/>
    <w:rsid w:val="00CC1847"/>
    <w:rsid w:val="00CC4E35"/>
    <w:rsid w:val="00CC6FB7"/>
    <w:rsid w:val="00CD5BC1"/>
    <w:rsid w:val="00CE04A2"/>
    <w:rsid w:val="00CE1D00"/>
    <w:rsid w:val="00CE29E9"/>
    <w:rsid w:val="00CF1A56"/>
    <w:rsid w:val="00CF1D74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24D0"/>
    <w:rsid w:val="00D34D91"/>
    <w:rsid w:val="00D41029"/>
    <w:rsid w:val="00D41173"/>
    <w:rsid w:val="00D4236A"/>
    <w:rsid w:val="00D503ED"/>
    <w:rsid w:val="00D518AB"/>
    <w:rsid w:val="00D52678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03A"/>
    <w:rsid w:val="00D86406"/>
    <w:rsid w:val="00D864DA"/>
    <w:rsid w:val="00D86FAF"/>
    <w:rsid w:val="00D9398D"/>
    <w:rsid w:val="00D940F6"/>
    <w:rsid w:val="00D97D22"/>
    <w:rsid w:val="00DB5915"/>
    <w:rsid w:val="00DB7EB6"/>
    <w:rsid w:val="00DC07E2"/>
    <w:rsid w:val="00DC1E72"/>
    <w:rsid w:val="00DC2209"/>
    <w:rsid w:val="00DC2C8A"/>
    <w:rsid w:val="00DC5217"/>
    <w:rsid w:val="00DC67A3"/>
    <w:rsid w:val="00DD1BE7"/>
    <w:rsid w:val="00DD3864"/>
    <w:rsid w:val="00DD6EBE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8ED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22"/>
    <w:rsid w:val="00E749F0"/>
    <w:rsid w:val="00E75C46"/>
    <w:rsid w:val="00E80744"/>
    <w:rsid w:val="00E8311C"/>
    <w:rsid w:val="00E86E8F"/>
    <w:rsid w:val="00E92862"/>
    <w:rsid w:val="00EA0392"/>
    <w:rsid w:val="00EA1F07"/>
    <w:rsid w:val="00EA494F"/>
    <w:rsid w:val="00EA681E"/>
    <w:rsid w:val="00EB5C15"/>
    <w:rsid w:val="00EC0C64"/>
    <w:rsid w:val="00EC30B0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5253"/>
    <w:rsid w:val="00F169CD"/>
    <w:rsid w:val="00F17CB8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7BDC"/>
    <w:rsid w:val="00F61711"/>
    <w:rsid w:val="00F61E78"/>
    <w:rsid w:val="00F64ABC"/>
    <w:rsid w:val="00F6780B"/>
    <w:rsid w:val="00F67EED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C3CDD"/>
    <w:rsid w:val="00FC5B30"/>
    <w:rsid w:val="00FD2A35"/>
    <w:rsid w:val="00FD6052"/>
    <w:rsid w:val="00FE36C2"/>
    <w:rsid w:val="00FE5100"/>
    <w:rsid w:val="00FF046A"/>
    <w:rsid w:val="00FF1FEF"/>
    <w:rsid w:val="00FF2CC1"/>
    <w:rsid w:val="00FF3F9E"/>
    <w:rsid w:val="00FF55CA"/>
    <w:rsid w:val="00FF69DE"/>
    <w:rsid w:val="00FF6C55"/>
    <w:rsid w:val="00FF6F48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23A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23A21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3A2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3A21"/>
    <w:rPr>
      <w:sz w:val="16"/>
      <w:szCs w:val="16"/>
    </w:rPr>
  </w:style>
  <w:style w:type="paragraph" w:customStyle="1" w:styleId="inciso">
    <w:name w:val="inciso"/>
    <w:basedOn w:val="Normal"/>
    <w:rsid w:val="00623A21"/>
    <w:pPr>
      <w:spacing w:before="120" w:after="0" w:line="240" w:lineRule="auto"/>
      <w:ind w:firstLine="1701"/>
      <w:jc w:val="both"/>
    </w:pPr>
    <w:rPr>
      <w:rFonts w:ascii="Times New Roman" w:hAnsi="Times New Roman"/>
      <w:sz w:val="26"/>
      <w:szCs w:val="20"/>
    </w:rPr>
  </w:style>
  <w:style w:type="paragraph" w:customStyle="1" w:styleId="PAR01">
    <w:name w:val="PAR01"/>
    <w:basedOn w:val="Normal"/>
    <w:rsid w:val="00623A21"/>
    <w:pPr>
      <w:tabs>
        <w:tab w:val="left" w:leader="dot" w:pos="1445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1FE2-5134-4EFE-B0AB-2F407443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1390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22</cp:revision>
  <cp:lastPrinted>2018-10-29T16:12:00Z</cp:lastPrinted>
  <dcterms:created xsi:type="dcterms:W3CDTF">2018-10-26T11:11:00Z</dcterms:created>
  <dcterms:modified xsi:type="dcterms:W3CDTF">2018-10-29T16:14:00Z</dcterms:modified>
</cp:coreProperties>
</file>