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both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ascii="Arial;sans-serif" w:hAnsi="Arial;sans-serif"/>
          <w:b/>
          <w:u w:val="none"/>
        </w:rPr>
        <w:t xml:space="preserve">                                                            </w:t>
      </w:r>
      <w:r>
        <w:rPr>
          <w:rFonts w:ascii="Arial;sans-serif" w:hAnsi="Arial;sans-serif"/>
          <w:b/>
          <w:u w:val="single"/>
        </w:rPr>
        <w:t>PROJETO DE LEI Nº 70, DE 25 DE MAIO DE 2021.</w:t>
      </w:r>
      <w:r/>
    </w:p>
    <w:p>
      <w:pPr>
        <w:pStyle w:val="Corpodotexto"/>
        <w:spacing w:before="0" w:after="0"/>
        <w:ind w:left="4678" w:right="0" w:hanging="0"/>
        <w:jc w:val="both"/>
      </w:pPr>
      <w:bookmarkStart w:id="0" w:name="__DdeLink__38_225226547"/>
      <w:bookmarkEnd w:id="0"/>
      <w:r>
        <w:rPr>
          <w:rFonts w:ascii="Arial;sans-serif" w:hAnsi="Arial;sans-serif"/>
          <w:b w:val="false"/>
          <w:bCs w:val="false"/>
        </w:rPr>
        <w:t>Dispõe sobre o Plano Plurianual para o quadriênio 2022-2025 e dá outras providências.</w:t>
      </w:r>
      <w:r/>
    </w:p>
    <w:p>
      <w:pPr>
        <w:pStyle w:val="Corpodotexto"/>
        <w:spacing w:before="0" w:after="0"/>
        <w:ind w:right="0" w:hanging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160"/>
        <w:jc w:val="both"/>
      </w:pPr>
      <w:r>
        <w:rPr>
          <w:rFonts w:ascii="Arial;sans-serif" w:hAnsi="Arial;sans-serif"/>
          <w:b/>
        </w:rPr>
        <w:t>Art. 1º</w:t>
      </w:r>
      <w:r>
        <w:rPr/>
        <w:t xml:space="preserve"> </w:t>
      </w:r>
      <w:r>
        <w:rPr>
          <w:rFonts w:ascii="Arial;sans-serif" w:hAnsi="Arial;sans-serif"/>
        </w:rPr>
        <w:t>Esta lei institui o Plano Plurianual para o quadriênio 2022/2025, em cumprimento ao disposto no art. 165, I, § 1º, da Constituição Federal, estabelecendo, para o período, os programas com as respectivas diretrizes, objetivos e metas para as despesas de capital e outras delas decorrentes e para os programas de duração continuada, na forma dos Anexos I, II e III, que integram esta lei.</w:t>
      </w:r>
      <w:r/>
    </w:p>
    <w:p>
      <w:pPr>
        <w:pStyle w:val="Corpodotexto"/>
        <w:spacing w:before="0" w:after="160"/>
        <w:jc w:val="both"/>
      </w:pPr>
      <w:r>
        <w:rPr>
          <w:rFonts w:ascii="Arial;sans-serif" w:hAnsi="Arial;sans-serif"/>
          <w:b/>
        </w:rPr>
        <w:t>Art. 2º</w:t>
      </w:r>
      <w:r>
        <w:rPr/>
        <w:t xml:space="preserve"> </w:t>
      </w:r>
      <w:r>
        <w:rPr>
          <w:rFonts w:ascii="Arial;sans-serif" w:hAnsi="Arial;sans-serif"/>
        </w:rPr>
        <w:t>Para efeitos desta Lei, entende-se por: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 - Programa, o instrumento de organização da atuação governamental, que articula um conjunto de ações que concorrem para um objetivo comum pré-estabelecido, mensurado por indicadores, visando à solução de um problema ou ao atendimento de uma necessidade ou demanda da sociedade;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II - Programa Finalístico: aquele que resulta em bens ou serviços ofertados diretamente à sociedade;</w:t>
      </w:r>
      <w:r/>
    </w:p>
    <w:p>
      <w:pPr>
        <w:pStyle w:val="Corpodotexto"/>
        <w:spacing w:before="0" w:after="160"/>
        <w:jc w:val="both"/>
      </w:pPr>
      <w:r>
        <w:rPr>
          <w:rFonts w:ascii="Arial;sans-serif" w:hAnsi="Arial;sans-serif"/>
        </w:rPr>
        <w:t>III – Programa de Gestão e Manutenção de Serviços:  aquele que</w:t>
      </w:r>
      <w:r>
        <w:rPr/>
        <w:t xml:space="preserve"> </w:t>
      </w:r>
      <w:r>
        <w:rPr>
          <w:rFonts w:ascii="Arial;sans-serif" w:hAnsi="Arial;sans-serif"/>
        </w:rPr>
        <w:t>reúne as ações de planejamento, formulação, gestão, coordenação, avaliação ou controle das políticas públicas, incluindo atividades de natureza tipicamente administrativa, que colaboram para a consecução dos objetivos dos programas finalísticos;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IV – Encargos Especiais do Município: programa de cunho orçamentário, que engloba ações de natureza financeira, não associáveis aos programas finalísticos ou ao programa de gestão e manutenção de serviço, não figurando na programação do PPA 2022-2025, sendo apenas considerado para fins de estabelecimento do cenário financeiro que orientará a fixação das metas dos demais programas;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IV - Ação, o conjunto de operações cujos produtos contribuem para os objetivos do programa;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V - Produto, bem ou serviço que resulta da ação, destinado ao público-alvo;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VI - Meta, quantidade de produto que se deseja obter em determinado horizonte temporal, expressa na unidade de medida adotada.</w:t>
      </w:r>
      <w:r/>
    </w:p>
    <w:p>
      <w:pPr>
        <w:pStyle w:val="Corpodotexto"/>
        <w:spacing w:before="0" w:after="160"/>
        <w:jc w:val="both"/>
      </w:pPr>
      <w:r>
        <w:rPr>
          <w:rFonts w:ascii="Arial;sans-serif" w:hAnsi="Arial;sans-serif"/>
          <w:b/>
        </w:rPr>
        <w:t>Art. 3º</w:t>
      </w:r>
      <w:r>
        <w:rPr/>
        <w:t xml:space="preserve"> </w:t>
      </w:r>
      <w:r>
        <w:rPr>
          <w:rFonts w:ascii="Arial;sans-serif" w:hAnsi="Arial;sans-serif"/>
        </w:rPr>
        <w:t>A programação constante do PPA será financiada pelos recursos da arrecadação própria dos órgãos da Administração Direta do Município, das operações de crédito, dos convênios, contratos ou instrumentos congêneres celebrados com a União, Estado ou outros Municípios, das transferências legais obrigatórias e, subsidiariamente, recursos de parcerias com a iniciativa privada.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Parágrafo único. Os valores financeiros constantes nos anexos e nas tabelas desta Lei são referenciais e não constituem limite para a programação da despesa na Lei Orçamentária Anual, que deverá obedecer os parâmetros fixados pela Lei de Diretrizes Orçamentárias e as receitas efetivamente previstas em cada ano, consoante a legislação e o cenário econômico em vigor à época.</w:t>
      </w:r>
      <w:r/>
    </w:p>
    <w:p>
      <w:pPr>
        <w:pStyle w:val="Corpodotexto"/>
        <w:spacing w:before="0" w:after="160"/>
        <w:jc w:val="both"/>
      </w:pPr>
      <w:r>
        <w:rPr>
          <w:rFonts w:ascii="Arial;sans-serif" w:hAnsi="Arial;sans-serif"/>
          <w:b/>
        </w:rPr>
        <w:t>Art. 4º</w:t>
      </w:r>
      <w:r>
        <w:rPr/>
        <w:t xml:space="preserve"> </w:t>
      </w:r>
      <w:r>
        <w:rPr>
          <w:rFonts w:ascii="Arial;sans-serif" w:hAnsi="Arial;sans-serif"/>
        </w:rPr>
        <w:t>As metas físicas das ações estabelecidas para o período 2022-2025 se constituem referências a serem observadas pelas leis de diretrizes orçamentárias e pelas leis orçamentárias e suas respectivas alterações.</w:t>
      </w:r>
      <w:r/>
    </w:p>
    <w:p>
      <w:pPr>
        <w:pStyle w:val="Corpodotexto"/>
        <w:spacing w:before="0" w:after="160"/>
        <w:jc w:val="both"/>
      </w:pPr>
      <w:r>
        <w:rPr>
          <w:rFonts w:ascii="Arial;sans-serif" w:hAnsi="Arial;sans-serif"/>
          <w:b/>
        </w:rPr>
        <w:t>Art. 5º</w:t>
      </w:r>
      <w:r>
        <w:rPr/>
        <w:t xml:space="preserve"> </w:t>
      </w:r>
      <w:r>
        <w:rPr>
          <w:rFonts w:ascii="Arial;sans-serif" w:hAnsi="Arial;sans-serif"/>
        </w:rPr>
        <w:t>A inclusão, exclusão ou alteração de programas constantes desta lei, serão propostos pelo Poder Executivo, através de Projeto de Lei de Revisão do Plano ou Projeto de lei específico.</w:t>
      </w:r>
      <w:r/>
    </w:p>
    <w:p>
      <w:pPr>
        <w:pStyle w:val="Corpodotexto"/>
        <w:spacing w:before="0" w:after="160"/>
        <w:jc w:val="both"/>
      </w:pPr>
      <w:r>
        <w:rPr>
          <w:rFonts w:ascii="Arial;sans-serif" w:hAnsi="Arial;sans-serif"/>
          <w:b/>
        </w:rPr>
        <w:t>Art. 6º</w:t>
      </w:r>
      <w:r>
        <w:rPr/>
        <w:t xml:space="preserve"> </w:t>
      </w:r>
      <w:r>
        <w:rPr>
          <w:rFonts w:ascii="Arial;sans-serif" w:hAnsi="Arial;sans-serif"/>
        </w:rPr>
        <w:t>A inclusão, exclusão ou alteração de ações, produtos e metas no Plano Plurianual poderão ocorrer por intermédio da Lei de Diretrizes Orçamentárias, da Lei Orçamentária Anual ou de seus créditos adicionais, apropriando-se ao respectivo programa, as modificações consequentes.</w:t>
      </w:r>
      <w:r/>
    </w:p>
    <w:p>
      <w:pPr>
        <w:pStyle w:val="Corpodotexto"/>
        <w:spacing w:before="0" w:after="160"/>
        <w:jc w:val="both"/>
      </w:pPr>
      <w:r>
        <w:rPr>
          <w:rFonts w:ascii="Arial;sans-serif" w:hAnsi="Arial;sans-serif"/>
          <w:b/>
        </w:rPr>
        <w:t>Art. 7º</w:t>
      </w:r>
      <w:r>
        <w:rPr/>
        <w:t xml:space="preserve"> </w:t>
      </w:r>
      <w:r>
        <w:rPr>
          <w:rFonts w:ascii="Arial;sans-serif" w:hAnsi="Arial;sans-serif"/>
        </w:rPr>
        <w:t>O acompanhamento da execução dos programas do PPA será feito com base no desempenho dos indicadores, ou, na falta destes, com base na realização das metas físicas e financeiras, cujas informações serão apuradas periodicamente e terão a finalidade de medir os resultados alcançados.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Parágrafo único. O acompanhamento da execução dos programas do PPA será feito sob a coordenação da Secretaria de Administração, Planejamento, Finanças, Gestão e Tributos, a quem compete:</w:t>
      </w:r>
      <w:r/>
    </w:p>
    <w:p>
      <w:pPr>
        <w:pStyle w:val="Corpodotexto"/>
        <w:spacing w:before="0" w:after="160"/>
        <w:jc w:val="both"/>
      </w:pPr>
      <w:r>
        <w:rPr>
          <w:rFonts w:ascii="Arial;sans-serif" w:hAnsi="Arial;sans-serif"/>
        </w:rPr>
        <w:t xml:space="preserve">I – definir as metodologias a serem utilizadas na elaboração, no acompanhamento e na revisão do PPA a ser observado por todos os órgãos da Administração Municipal; </w:t>
      </w:r>
      <w:r/>
    </w:p>
    <w:p>
      <w:pPr>
        <w:pStyle w:val="Corpodotexto"/>
        <w:spacing w:before="0" w:after="160"/>
        <w:jc w:val="both"/>
      </w:pPr>
      <w:r>
        <w:rPr>
          <w:rFonts w:ascii="Arial;sans-serif" w:hAnsi="Arial;sans-serif"/>
        </w:rPr>
        <w:t xml:space="preserve">II - definir a agenda de elaboração, de acompanhamento e, quando for o caso, de revisão do PPA; 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 xml:space="preserve">III - auxiliar os demais órgãos e setores da Administração Municipal nos processos de elaboração, de acompanhamento e de revisão do PPA; e 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IV – elaborar anualmente relatório de avaliação dos resultados deste Plano que será encaminhado ao Poder Legislativo, juntamente o Projeto de Lei de Diretrizes Orçamentárias.</w:t>
      </w:r>
      <w:r/>
    </w:p>
    <w:p>
      <w:pPr>
        <w:pStyle w:val="Corpodotexto"/>
        <w:spacing w:before="0" w:after="160"/>
        <w:jc w:val="both"/>
      </w:pPr>
      <w:r>
        <w:rPr>
          <w:rFonts w:ascii="Arial;sans-serif" w:hAnsi="Arial;sans-serif"/>
          <w:b/>
        </w:rPr>
        <w:t>Art. 8º</w:t>
      </w:r>
      <w:r>
        <w:rPr/>
        <w:t xml:space="preserve"> </w:t>
      </w:r>
      <w:r>
        <w:rPr>
          <w:rFonts w:ascii="Arial;sans-serif" w:hAnsi="Arial;sans-serif"/>
        </w:rPr>
        <w:t>Acompanham o Plano Plurianual, as seguintes tabelas, de caráter meramente informativo: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 – Tabela 01 – Memória de Cálculo das Estimativas de Receitas para o período de 2022 a 2025;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II – Tabela 02 – Estimativas da Receita Corrente Líquida;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III – Tabela 03 – Estimativa de Limites de Gastos com Pessoal do Poder Executivo e Legislativo para o período de 2022 a 2025;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IV – Tabela 04 – Estimativa de Valores Máximos Disponíveis para as Diretrizes, Objetivos e Metas do Poder Legislativo;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V – Tabela 05 – Estimativa de Valores Disponíveis para as Diretrizes, Objetivos e Metas a serem Financiados com Recursos vinculados à Educação;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VI – Tabela 06 – Estimativa de Valores Disponíveis para as Diretrizes, Objetivos e Metas a serem Financiados com Recursos vinculados à Saúde;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VII – Tabela 07 – Estimativa de Valores Disponíveis para as Diretrizes, Objetivos e Metas a serem Financiados com Recursos vinculados à Assistência Social;</w:t>
      </w:r>
      <w:r/>
    </w:p>
    <w:p>
      <w:pPr>
        <w:pStyle w:val="Corpodotexto"/>
        <w:spacing w:before="0" w:after="16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VIII – Tabela 08 - Avaliação Global / Consolidação de Valores Disponíveis para as Diretrizes, Objetivos e Metas do PPA;</w:t>
      </w:r>
      <w:r/>
    </w:p>
    <w:p>
      <w:pPr>
        <w:pStyle w:val="Corpodotexto"/>
        <w:spacing w:before="0" w:after="160"/>
        <w:jc w:val="both"/>
      </w:pPr>
      <w:r>
        <w:rPr>
          <w:rFonts w:ascii="Arial;sans-serif" w:hAnsi="Arial;sans-serif"/>
          <w:b/>
        </w:rPr>
        <w:t>Art. 9º</w:t>
      </w:r>
      <w:r>
        <w:rPr/>
        <w:t xml:space="preserve"> </w:t>
      </w:r>
      <w:r>
        <w:rPr>
          <w:rFonts w:ascii="Arial;sans-serif" w:hAnsi="Arial;sans-serif"/>
        </w:rPr>
        <w:t>Esta Lei entra em vigor na data de sua publicação.</w:t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eastAsia="SimSun" w:cs="Mangal" w:ascii="Arial;sans-serif" w:hAnsi="Arial;sans-serif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Sala de Sessões, </w:t>
      </w:r>
      <w:r>
        <w:rPr>
          <w:rFonts w:eastAsia="Arial" w:cs="Arial" w:ascii="Arial" w:hAnsi="Arial"/>
          <w:color w:val="00000A"/>
          <w:sz w:val="26"/>
          <w:szCs w:val="26"/>
        </w:rPr>
        <w:t>13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 de Ju</w:t>
      </w:r>
      <w:r>
        <w:rPr>
          <w:rFonts w:eastAsia="Arial" w:cs="Arial" w:ascii="Arial" w:hAnsi="Arial"/>
          <w:color w:val="00000A"/>
          <w:sz w:val="26"/>
          <w:szCs w:val="26"/>
        </w:rPr>
        <w:t>l</w:t>
      </w:r>
      <w:r>
        <w:rPr>
          <w:rFonts w:eastAsia="Arial" w:cs="Arial" w:ascii="Arial" w:hAnsi="Arial"/>
          <w:color w:val="00000A"/>
          <w:sz w:val="26"/>
          <w:szCs w:val="26"/>
        </w:rPr>
        <w:t>ho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i/>
          <w:sz w:val="26"/>
          <w:szCs w:val="26"/>
        </w:rPr>
        <w:t xml:space="preserve">                                                    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i/>
          <w:sz w:val="26"/>
          <w:szCs w:val="26"/>
        </w:rPr>
        <w:t xml:space="preserve">    </w:t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4"/>
          <w:szCs w:val="24"/>
          <w:shd w:fill="FFFFFF" w:val="clear"/>
        </w:rPr>
        <w:t>Presidente da Câmara de Vereadores</w:t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character" w:styleId="ListLabel7">
    <w:name w:val="ListLabel 7"/>
    <w:rPr>
      <w:b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</TotalTime>
  <Application>LibreOffice/4.3.4.1$Windows_x86 LibreOffice_project/bc356b2f991740509f321d70e4512a6a54c5f243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2021-06-29T10:15:42Z</cp:lastPrinted>
  <dcterms:modified xsi:type="dcterms:W3CDTF">2021-07-13T08:42:18Z</dcterms:modified>
  <cp:revision>103</cp:revision>
</cp:coreProperties>
</file>