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cs="Arial" w:ascii="Arial" w:hAnsi="Arial"/>
          <w:b/>
          <w:bCs/>
          <w:color w:val="00000A"/>
          <w:u w:val="single"/>
        </w:rPr>
        <w:t>PROJETO DE LEI Nº 93, DE 17 DE JUNHO DE 2021.</w:t>
      </w:r>
      <w:r/>
    </w:p>
    <w:p>
      <w:pPr>
        <w:pStyle w:val="Normal"/>
        <w:ind w:left="4395" w:firstLine="283"/>
        <w:jc w:val="both"/>
      </w:pPr>
      <w:bookmarkStart w:id="0" w:name="__DdeLink__691_1513896702"/>
      <w:bookmarkEnd w:id="0"/>
      <w:r>
        <w:rPr>
          <w:rFonts w:cs="Arial" w:ascii="Arial" w:hAnsi="Arial"/>
          <w:sz w:val="22"/>
          <w:szCs w:val="22"/>
        </w:rPr>
        <w:t>Autoriza o Município de Arroio do Padre a realizar abertura de Crédito Adicional Especial no Orçamento Municipal de 2021.</w:t>
      </w:r>
      <w:r/>
    </w:p>
    <w:p>
      <w:pPr>
        <w:pStyle w:val="Normal"/>
        <w:jc w:val="both"/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  <w:r/>
    </w:p>
    <w:p>
      <w:pPr>
        <w:pStyle w:val="Normal"/>
        <w:jc w:val="both"/>
      </w:pPr>
      <w:r>
        <w:rPr>
          <w:rFonts w:cs="Arial" w:ascii="Arial" w:hAnsi="Arial"/>
          <w:sz w:val="22"/>
          <w:szCs w:val="22"/>
        </w:rPr>
        <w:t>05 – Secretaria de Saúde e Desenvolvimento Social</w:t>
      </w:r>
      <w:r/>
    </w:p>
    <w:p>
      <w:pPr>
        <w:pStyle w:val="Normal"/>
        <w:jc w:val="both"/>
      </w:pPr>
      <w:r>
        <w:rPr>
          <w:rFonts w:cs="Arial" w:ascii="Arial" w:hAnsi="Arial"/>
          <w:sz w:val="22"/>
          <w:szCs w:val="22"/>
        </w:rPr>
        <w:t>02 – Fundo Municipal da Saúde – Rec. Vinculados</w:t>
      </w:r>
      <w:r/>
    </w:p>
    <w:p>
      <w:pPr>
        <w:pStyle w:val="Normal"/>
        <w:jc w:val="both"/>
      </w:pPr>
      <w:r>
        <w:rPr>
          <w:rFonts w:cs="Arial" w:ascii="Arial" w:hAnsi="Arial"/>
          <w:sz w:val="22"/>
          <w:szCs w:val="22"/>
        </w:rPr>
        <w:t>10 – Saúde</w:t>
      </w:r>
      <w:r/>
    </w:p>
    <w:p>
      <w:pPr>
        <w:pStyle w:val="Normal"/>
        <w:jc w:val="both"/>
      </w:pPr>
      <w:r>
        <w:rPr>
          <w:rFonts w:cs="Arial" w:ascii="Arial" w:hAnsi="Arial"/>
          <w:sz w:val="22"/>
          <w:szCs w:val="22"/>
        </w:rPr>
        <w:t>122 – Administração Geral</w:t>
      </w:r>
      <w:r/>
    </w:p>
    <w:p>
      <w:pPr>
        <w:pStyle w:val="Normal"/>
        <w:ind w:right="-285" w:hanging="0"/>
        <w:jc w:val="both"/>
      </w:pPr>
      <w:r>
        <w:rPr>
          <w:rFonts w:cs="Arial" w:ascii="Arial" w:hAnsi="Arial"/>
          <w:sz w:val="22"/>
          <w:szCs w:val="22"/>
        </w:rPr>
        <w:t>0502 – Atenção à Saúde</w:t>
      </w:r>
      <w:r/>
    </w:p>
    <w:p>
      <w:pPr>
        <w:pStyle w:val="Normal"/>
        <w:jc w:val="both"/>
      </w:pPr>
      <w:r>
        <w:rPr>
          <w:rFonts w:cs="Arial" w:ascii="Arial" w:hAnsi="Arial"/>
          <w:sz w:val="22"/>
          <w:szCs w:val="22"/>
        </w:rPr>
        <w:t>2.535 – Enfrentamento da Emergência COVID – 19</w:t>
      </w:r>
      <w:r/>
    </w:p>
    <w:p>
      <w:pPr>
        <w:pStyle w:val="Normal"/>
        <w:tabs>
          <w:tab w:val="left" w:pos="426" w:leader="none"/>
        </w:tabs>
        <w:jc w:val="both"/>
      </w:pPr>
      <w:r>
        <w:rPr>
          <w:rFonts w:cs="Arial" w:ascii="Arial" w:hAnsi="Arial"/>
          <w:sz w:val="22"/>
          <w:szCs w:val="22"/>
        </w:rPr>
        <w:t>3.3.90.30.00.00.00 – Material de Consumo. R$ 40.000,00 (quarenta mil reais)</w:t>
      </w:r>
      <w:r/>
    </w:p>
    <w:p>
      <w:pPr>
        <w:pStyle w:val="Normal"/>
        <w:tabs>
          <w:tab w:val="left" w:pos="426" w:leader="none"/>
        </w:tabs>
        <w:jc w:val="both"/>
      </w:pPr>
      <w:r>
        <w:rPr>
          <w:rFonts w:cs="Arial" w:ascii="Arial" w:hAnsi="Arial"/>
          <w:sz w:val="22"/>
          <w:szCs w:val="22"/>
        </w:rPr>
        <w:t>3.3.90.39.00.00.00 – Outros Serviços de Terceiros – Pessoa Jurídica. R$ 10.000,00 (dez mil reais)</w:t>
      </w:r>
      <w:r/>
    </w:p>
    <w:p>
      <w:pPr>
        <w:pStyle w:val="Normal"/>
        <w:tabs>
          <w:tab w:val="left" w:pos="426" w:leader="none"/>
        </w:tabs>
        <w:jc w:val="both"/>
      </w:pPr>
      <w:r>
        <w:rPr>
          <w:rFonts w:cs="Arial" w:ascii="Arial" w:hAnsi="Arial"/>
          <w:sz w:val="22"/>
          <w:szCs w:val="22"/>
        </w:rPr>
        <w:t>Fonte de Recurso: 4297 - Custeio</w:t>
      </w:r>
      <w:r/>
    </w:p>
    <w:p>
      <w:pPr>
        <w:pStyle w:val="Normal"/>
        <w:tabs>
          <w:tab w:val="left" w:pos="426" w:leader="none"/>
        </w:tabs>
        <w:jc w:val="both"/>
      </w:pPr>
      <w:r>
        <w:rPr>
          <w:rFonts w:cs="Arial" w:ascii="Arial" w:hAnsi="Arial"/>
          <w:b/>
          <w:bCs/>
          <w:sz w:val="22"/>
          <w:szCs w:val="22"/>
        </w:rPr>
        <w:t xml:space="preserve">Art. 2° </w:t>
      </w:r>
      <w:r>
        <w:rPr>
          <w:rFonts w:cs="Arial" w:ascii="Arial" w:hAnsi="Arial"/>
          <w:sz w:val="22"/>
          <w:szCs w:val="22"/>
        </w:rPr>
        <w:t>Servirão de cobertura para o Crédito Adicional Especial de que trata o art. 1° desta Lei, recursos financeiros provenientes do excesso de arrecadação verificado no exercício de 2021, na Fonte de Recurso: 4297 – Custeio, no valor de R$ 50.000,00 (cinquenta mil reais).</w:t>
      </w:r>
      <w:r/>
    </w:p>
    <w:p>
      <w:pPr>
        <w:pStyle w:val="Normal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eastAsia="SimSun" w:cs="Arial" w:ascii="Arial" w:hAnsi="Arial"/>
          <w:b/>
          <w:bCs/>
          <w:color w:val="00000A"/>
          <w:sz w:val="22"/>
          <w:szCs w:val="22"/>
          <w:u w:val="none"/>
          <w:lang w:val="pt-BR" w:eastAsia="zh-CN" w:bidi="hi-IN"/>
        </w:rPr>
        <w:t>Art. 3°</w:t>
      </w:r>
      <w:r>
        <w:rPr>
          <w:rFonts w:eastAsia="SimSun" w:cs="Arial" w:ascii="Arial" w:hAnsi="Arial"/>
          <w:b w:val="false"/>
          <w:bCs w:val="false"/>
          <w:color w:val="00000A"/>
          <w:sz w:val="22"/>
          <w:szCs w:val="22"/>
          <w:u w:val="none"/>
          <w:lang w:val="pt-BR" w:eastAsia="zh-CN" w:bidi="hi-IN"/>
        </w:rPr>
        <w:t xml:space="preserve"> 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</w:t>
      </w:r>
      <w:r>
        <w:rPr>
          <w:rFonts w:eastAsia="Arial" w:cs="Arial" w:ascii="Arial" w:hAnsi="Arial"/>
          <w:color w:val="00000A"/>
          <w:sz w:val="26"/>
          <w:szCs w:val="26"/>
        </w:rPr>
        <w:t>9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ListLabel7">
    <w:name w:val="ListLabel 7"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</TotalTime>
  <Application>LibreOffice/4.3.4.1$Windows_x86 LibreOffice_project/bc356b2f991740509f321d70e4512a6a54c5f243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2021-06-29T10:15:42Z</cp:lastPrinted>
  <dcterms:modified xsi:type="dcterms:W3CDTF">2021-06-29T10:17:46Z</dcterms:modified>
  <cp:revision>102</cp:revision>
</cp:coreProperties>
</file>