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3ACE243B" w14:textId="614A1727" w:rsidR="002613AC" w:rsidRDefault="0049183D" w:rsidP="00BD0C54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7E60B6C6" w14:textId="77777777" w:rsidR="0021568F" w:rsidRPr="0021568F" w:rsidRDefault="0021568F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textAlignment w:val="auto"/>
        <w:rPr>
          <w:rFonts w:ascii="Arial" w:eastAsia="Times New Roman" w:hAnsi="Arial" w:cs="Arial"/>
          <w:b/>
          <w:color w:val="auto"/>
          <w:kern w:val="0"/>
          <w:sz w:val="22"/>
          <w:szCs w:val="22"/>
          <w:lang w:eastAsia="pt-BR" w:bidi="ar-SA"/>
        </w:rPr>
      </w:pPr>
    </w:p>
    <w:p w14:paraId="433B5A7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860E49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60, DE 20 DE FEVEREIRO DE 2025.</w:t>
      </w:r>
    </w:p>
    <w:p w14:paraId="570B8B0F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3969" w:firstLine="709"/>
        <w:jc w:val="both"/>
        <w:textAlignment w:val="auto"/>
        <w:rPr>
          <w:rFonts w:ascii="Arial" w:hAnsi="Arial" w:cs="Arial"/>
          <w:color w:val="auto"/>
          <w:kern w:val="3"/>
        </w:rPr>
      </w:pPr>
      <w:r w:rsidRPr="00860E49">
        <w:rPr>
          <w:rFonts w:ascii="Arial" w:hAnsi="Arial" w:cs="Arial"/>
          <w:color w:val="auto"/>
          <w:kern w:val="3"/>
        </w:rPr>
        <w:t>Autoriza o Município de Arroio do Padre a realizar abertura de Crédito Adicional Suplementar no Orçamento Municipal de 2025.</w:t>
      </w:r>
    </w:p>
    <w:p w14:paraId="70E29EE1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 w:line="240" w:lineRule="auto"/>
        <w:ind w:left="4678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40F6152D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  <w:r w:rsidRPr="00860E49">
        <w:rPr>
          <w:rFonts w:ascii="Arial" w:hAnsi="Arial" w:cs="Arial"/>
          <w:b/>
          <w:bCs/>
          <w:color w:val="auto"/>
          <w:kern w:val="3"/>
        </w:rPr>
        <w:t xml:space="preserve">Art. 1° </w:t>
      </w:r>
      <w:r w:rsidRPr="00860E49">
        <w:rPr>
          <w:rFonts w:ascii="Arial" w:hAnsi="Arial" w:cs="Arial"/>
          <w:color w:val="auto"/>
          <w:kern w:val="3"/>
        </w:rPr>
        <w:t>Fica autorizado o Município de Arroio do Padre, Poder Executivo, a realizar abertura de Crédito Adicional Suplementar no Orçamento do Município para o exercício de 2025, nos seguintes programas de trabalho e respectivas categorias econômicas e conforme as quantias indicadas:</w:t>
      </w:r>
    </w:p>
    <w:p w14:paraId="3B972781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30D356A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36AF455E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04 – Fundo Municipal de Assistência Social – Rec. </w:t>
      </w:r>
      <w:proofErr w:type="spellStart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Vinc</w:t>
      </w:r>
      <w:proofErr w:type="spellEnd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7D04E9AE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08 – Assistência Social</w:t>
      </w:r>
    </w:p>
    <w:p w14:paraId="4085C3C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245 – Serviços Socioassistenciais</w:t>
      </w:r>
    </w:p>
    <w:p w14:paraId="66B57898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0504 – Gestão da Assistência Social </w:t>
      </w:r>
    </w:p>
    <w:p w14:paraId="5AE0595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2.517 – Manutenção do Centro de Referência de Assistência Social</w:t>
      </w:r>
    </w:p>
    <w:p w14:paraId="6BD0AE61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  <w:r w:rsidRPr="00860E49">
        <w:rPr>
          <w:rFonts w:ascii="Arial" w:hAnsi="Arial" w:cs="Arial"/>
          <w:color w:val="auto"/>
          <w:kern w:val="3"/>
        </w:rPr>
        <w:t>3.1.90.11.00.00.00 – Vencimentos e Vantagens Fixas. R$ 57.579,86 (cinquenta e sete mil, quinhentos e setenta e nove reais e oitenta e seis centavos)</w:t>
      </w:r>
    </w:p>
    <w:p w14:paraId="3FBEB387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3.3.90.30.00.00.00 – Material de Consumo. R$ 20.000,00 (vinte mil reais)</w:t>
      </w:r>
    </w:p>
    <w:p w14:paraId="11FA184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3.3.90.39.00.00.00 – Outros Serviços de Terceiros – Pessoa Jurídica. R$ 10.000,00 (dez mil reais)</w:t>
      </w:r>
    </w:p>
    <w:p w14:paraId="428284FB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2.660.0000.1028 -Transferência de Recursos do Fundo Nacional de Assistência Social – FNAS</w:t>
      </w:r>
    </w:p>
    <w:p w14:paraId="2434709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0ACF4D49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3.1.90.11.00.00.00 – Vencimentos e Vantagens Fixas. R$ 13.920,69 (treze mil, novecentos e vinte reais e sessenta e nove centavos)</w:t>
      </w:r>
    </w:p>
    <w:p w14:paraId="4DD49E7E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2.660.0000.1093 -Transferência de Recursos do Fundo Nacional de Assistência Social – FNAS</w:t>
      </w:r>
    </w:p>
    <w:p w14:paraId="70D131B8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46D59E7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3.3.90.30.00.00.00 – Material de Consumo. R$ 9.720,29 (nove mil, setecentos e vinte reais e vinte e nove centavos)</w:t>
      </w:r>
    </w:p>
    <w:p w14:paraId="121EC8B7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2.660.3201.0000 -Transferência de Recursos do Fundo Nacional de Assistência Social – FNAS</w:t>
      </w:r>
    </w:p>
    <w:p w14:paraId="4206C72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1912351A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6A8BE070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132E1928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04 – Fundo Municipal de Assistência Social – Rec. </w:t>
      </w:r>
      <w:proofErr w:type="spellStart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Vinc</w:t>
      </w:r>
      <w:proofErr w:type="spellEnd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6A87DFA8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08 – Assistência Social</w:t>
      </w:r>
    </w:p>
    <w:p w14:paraId="09433EEC" w14:textId="77777777" w:rsid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99C1ED9" w14:textId="528667A6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245 – Serviços Socioassistenciais</w:t>
      </w:r>
    </w:p>
    <w:p w14:paraId="75585D78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0505 – Proteção Social</w:t>
      </w:r>
    </w:p>
    <w:p w14:paraId="5A06C17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1.526 – Reaparelhamento das Atividades do CRAS</w:t>
      </w:r>
    </w:p>
    <w:p w14:paraId="503A1D8C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4.4.90.52.00.00.00 – Equipamentos e Material Permanente. R$ 13.106,76 (treze mil, cento e seis reais, e setenta e seis centavos)</w:t>
      </w:r>
    </w:p>
    <w:p w14:paraId="608C59B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2.660.0000.1060 -Transferência de Recursos do Fundo Nacional de Assistência Social – FNAS</w:t>
      </w:r>
    </w:p>
    <w:p w14:paraId="035B148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8305936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4.4.90.52.00.00.00 – Equipamentos e Material Permanente. R$ 20.000,00 (vinte mil reais)</w:t>
      </w:r>
    </w:p>
    <w:p w14:paraId="51DB4D59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2.660.0000.1060 -Transferência de Recursos do Fundo Nacional de Assistência Social – FNAS</w:t>
      </w:r>
    </w:p>
    <w:p w14:paraId="65333C47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99C4DA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7C5CD689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03 – Fundo Municipal de Assistência Social – Rec. Próprios</w:t>
      </w:r>
    </w:p>
    <w:p w14:paraId="109F4D2B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08 – Assistência Social</w:t>
      </w:r>
    </w:p>
    <w:p w14:paraId="4A6026C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245 – Serviços Socioassistenciais</w:t>
      </w:r>
    </w:p>
    <w:p w14:paraId="65BCE7C0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0505 – Proteção Social</w:t>
      </w:r>
    </w:p>
    <w:p w14:paraId="1B139ED2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  <w:r w:rsidRPr="00860E49">
        <w:rPr>
          <w:rFonts w:ascii="Arial" w:hAnsi="Arial" w:cs="Arial"/>
          <w:color w:val="auto"/>
          <w:kern w:val="3"/>
        </w:rPr>
        <w:t>2.524 – Trabalho Educativo</w:t>
      </w:r>
    </w:p>
    <w:p w14:paraId="5AC0B19C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3.3.90.30.00.00.00 – Material de Consumo. R$ 14.286,63 (quatorze mil, duzentos e oitenta e seis reais e sessenta e três centavos)</w:t>
      </w:r>
    </w:p>
    <w:p w14:paraId="2D6A86E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3.3.90.36.00.00.00 – Outros Serviços de Terceiros – Pessoa Física. R$ 5.000,00 (cinco mil reais)</w:t>
      </w:r>
    </w:p>
    <w:p w14:paraId="6AC67F4B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3.3.90.39.00.00.00 – Outros Serviços de Terceiros – Pessoa Jurídica. R$ 10.000,00 (dez mil reais)</w:t>
      </w:r>
    </w:p>
    <w:p w14:paraId="5C0E5A9A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Fonte de Recurso: 2.661.0000.4400 - </w:t>
      </w:r>
      <w:r w:rsidRPr="00860E49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Transferência de Recursos dos Fundos Estaduais de Assistência Social </w:t>
      </w:r>
    </w:p>
    <w:p w14:paraId="2DB6B79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5AECA91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 – Secretaria de Saúde e Desenvolvimento Social</w:t>
      </w:r>
    </w:p>
    <w:p w14:paraId="2D9DEFEC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04 – Fundo Municipal de Assistência Social – Rec. </w:t>
      </w:r>
      <w:proofErr w:type="spellStart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Vinc</w:t>
      </w:r>
      <w:proofErr w:type="spellEnd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1F0A030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08 – Assistência Social</w:t>
      </w:r>
    </w:p>
    <w:p w14:paraId="5E22282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245 – Serviços Socioassistenciais</w:t>
      </w:r>
    </w:p>
    <w:p w14:paraId="5F6A9A55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0505 – Proteção Social</w:t>
      </w:r>
    </w:p>
    <w:p w14:paraId="17AFA3F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2.525 – Atenção Integral a Família</w:t>
      </w:r>
    </w:p>
    <w:p w14:paraId="48331D71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3.3.90.30.00.00.00 – Material de Consumo. R$ 10.000,00 (dez mil reais)</w:t>
      </w:r>
    </w:p>
    <w:p w14:paraId="6BFD4D8B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3.3.90.32.00.00.00 – Material, </w:t>
      </w:r>
      <w:proofErr w:type="gramStart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Bem</w:t>
      </w:r>
      <w:proofErr w:type="gramEnd"/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ou Serviço de Distribuição Gratuita. R$ 20.000,00 (vinte mil reais)</w:t>
      </w:r>
    </w:p>
    <w:p w14:paraId="6F94B100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  <w:r w:rsidRPr="00860E49">
        <w:rPr>
          <w:rFonts w:ascii="Arial" w:hAnsi="Arial" w:cs="Arial"/>
          <w:color w:val="auto"/>
          <w:kern w:val="3"/>
        </w:rPr>
        <w:t>3.3.90.36.00.00.00 – Outros Serviços de Terceiros – Pessoa Física. R$ 10.000,00 (dez mil reais)</w:t>
      </w:r>
    </w:p>
    <w:p w14:paraId="36572F3B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3.3.90.39.00.00.00 – Outros Serviços de Terceiros – Pessoa Jurídica. R$ 28.846,00 (vinte e oito mil, oitocentos e quarenta e seis reais)</w:t>
      </w:r>
    </w:p>
    <w:p w14:paraId="4C325250" w14:textId="77777777" w:rsid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49BBC95E" w14:textId="73D1A19F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2.660.0000.1010 -Transferência de Recursos do Fundo Nacional de Assistência Social – FNAS</w:t>
      </w:r>
    </w:p>
    <w:p w14:paraId="4428FA4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3.3.90.39.00.00.00 – Outros Serviços de Terceiros – Pessoa Jurídica. R$ 1.963,57 (um mil, novecentos e sessenta e três reais e cinquenta e sete centavos)</w:t>
      </w:r>
    </w:p>
    <w:p w14:paraId="73177666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Fonte de Recurso: 2.660.0000.1035 -Transferência de Recursos do Fundo Nacional de Assistência Social – FNAS</w:t>
      </w:r>
    </w:p>
    <w:p w14:paraId="66260EC1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5D10EAF0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Valor total de Crédito Adicional Suplementar: R$ 244.423,80 (duzentos e quarenta e quatro mil, quatrocentos e vinte e três reais e oitenta centavos)</w:t>
      </w:r>
    </w:p>
    <w:p w14:paraId="6D11D772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60831D95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</w:p>
    <w:p w14:paraId="2112CFF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6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2° </w:t>
      </w: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Servirão de cobertura para o Crédito Adicional Suplementar de que trata o art. 1° desta Lei, recursos financeiros provenientes do superávit financeiro verificado no exercício de 2024, </w:t>
      </w:r>
      <w:r w:rsidRPr="00860E49">
        <w:rPr>
          <w:rFonts w:ascii="Arial" w:eastAsia="Times New Roman" w:hAnsi="Arial" w:cs="Arial"/>
          <w:color w:val="000000"/>
          <w:kern w:val="0"/>
          <w:lang w:eastAsia="pt-BR" w:bidi="ar-SA"/>
        </w:rPr>
        <w:t xml:space="preserve">nas </w:t>
      </w: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seguintes Fontes de Recurso e respectivos valores:</w:t>
      </w:r>
    </w:p>
    <w:p w14:paraId="69C22E92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2.660.0000.1010 -Transferência de Recursos do Fundo Nacional de Assistência Social – FNAS, no valor de R$ 88.846,00 (oitenta e oito mil, oitocentos e quarenta e seis reais);</w:t>
      </w:r>
    </w:p>
    <w:p w14:paraId="59817513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720"/>
        <w:jc w:val="both"/>
        <w:textAlignment w:val="auto"/>
        <w:rPr>
          <w:rFonts w:ascii="Arial" w:hAnsi="Arial" w:cs="Arial"/>
          <w:kern w:val="0"/>
          <w:lang w:eastAsia="en-US" w:bidi="ar-SA"/>
        </w:rPr>
      </w:pPr>
    </w:p>
    <w:p w14:paraId="5675322B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2.660.0000.1028 -Transferência de Recursos do Fundo Nacional de Assistência Social – FNAS, no valor de R$ 87.579,86 (oitenta e sete mil, quinhentos e setenta e nove reais e oitenta e seis centavos)</w:t>
      </w:r>
    </w:p>
    <w:p w14:paraId="69127469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0408C35B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2.660.0000.1035 -Transferência de Recursos do Fundo Nacional de Assistência Social – FNAS, no valor de R$ 1.963,57 (um mil, novecentos e sessenta e três reais e cinquenta e sete centavos)</w:t>
      </w:r>
    </w:p>
    <w:p w14:paraId="5F3B1A0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79635410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2.660.0000.1060 -Transferência de Recursos do Fundo Nacional de Assistência Social – FNAS, no valor de R$ 13.106,76 (treze mil, cento e seis reais, e setenta e seis centavos);</w:t>
      </w:r>
    </w:p>
    <w:p w14:paraId="729CE6D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720"/>
        <w:jc w:val="both"/>
        <w:textAlignment w:val="auto"/>
        <w:rPr>
          <w:rFonts w:ascii="Arial" w:hAnsi="Arial" w:cs="Arial"/>
          <w:kern w:val="0"/>
          <w:lang w:eastAsia="en-US" w:bidi="ar-SA"/>
        </w:rPr>
      </w:pPr>
    </w:p>
    <w:p w14:paraId="0851B2A3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2.660.0000.1093 -Transferência de Recursos do Fundo Nacional de Assistência Social – FNAS, no valor de R$ 13.920,69 (treze mil, novecentos e vinte reais e sessenta e nove centavos)</w:t>
      </w:r>
    </w:p>
    <w:p w14:paraId="413EBE8D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720"/>
        <w:textAlignment w:val="auto"/>
        <w:rPr>
          <w:rFonts w:ascii="Arial" w:hAnsi="Arial" w:cs="Arial"/>
          <w:kern w:val="0"/>
          <w:lang w:eastAsia="en-US" w:bidi="ar-SA"/>
        </w:rPr>
      </w:pPr>
    </w:p>
    <w:p w14:paraId="1F210EED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>Fonte de Recurso: 2.660.3201.0000 -Transferência de Recursos do Fundo Nacional de Assistência Social – FNAS, no valor de R$ 9.720,29 (nove mil, setecentos e vinte reais e vinte e nove centavos)</w:t>
      </w:r>
    </w:p>
    <w:p w14:paraId="52465C8F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pacing w:after="0"/>
        <w:ind w:left="720"/>
        <w:jc w:val="both"/>
        <w:textAlignment w:val="auto"/>
        <w:rPr>
          <w:rFonts w:ascii="Arial" w:hAnsi="Arial" w:cs="Arial"/>
          <w:kern w:val="0"/>
          <w:lang w:eastAsia="en-US" w:bidi="ar-SA"/>
        </w:rPr>
      </w:pPr>
    </w:p>
    <w:p w14:paraId="7059B835" w14:textId="77777777" w:rsidR="00860E49" w:rsidRPr="00860E49" w:rsidRDefault="00860E49" w:rsidP="00860E49">
      <w:pPr>
        <w:widowControl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</w:tabs>
        <w:suppressAutoHyphens w:val="0"/>
        <w:spacing w:after="0" w:line="240" w:lineRule="auto"/>
        <w:jc w:val="both"/>
        <w:textAlignment w:val="auto"/>
        <w:rPr>
          <w:rFonts w:ascii="Arial" w:hAnsi="Arial" w:cs="Arial"/>
          <w:kern w:val="0"/>
          <w:lang w:eastAsia="en-US" w:bidi="ar-SA"/>
        </w:rPr>
      </w:pPr>
      <w:r w:rsidRPr="00860E49">
        <w:rPr>
          <w:rFonts w:ascii="Arial" w:hAnsi="Arial" w:cs="Arial"/>
          <w:kern w:val="0"/>
          <w:lang w:eastAsia="en-US" w:bidi="ar-SA"/>
        </w:rPr>
        <w:t xml:space="preserve">Fonte de Recurso: 2.661.0000.4400 - </w:t>
      </w:r>
      <w:r w:rsidRPr="00860E49">
        <w:rPr>
          <w:rFonts w:ascii="Arial" w:hAnsi="Arial" w:cs="Arial"/>
          <w:color w:val="000000"/>
          <w:kern w:val="0"/>
          <w:lang w:eastAsia="en-US" w:bidi="ar-SA"/>
        </w:rPr>
        <w:t>Transferência de Recursos dos Fundos Estaduais de Assistência Social</w:t>
      </w:r>
      <w:r w:rsidRPr="00860E49">
        <w:rPr>
          <w:rFonts w:ascii="Arial" w:hAnsi="Arial" w:cs="Arial"/>
          <w:kern w:val="0"/>
          <w:lang w:eastAsia="en-US" w:bidi="ar-SA"/>
        </w:rPr>
        <w:t>, no valor de R$ 29.286,63 (vinte e nove mil, duzentos e oitenta e seis reais e sessenta e três centavos)</w:t>
      </w:r>
    </w:p>
    <w:p w14:paraId="3CFCB66D" w14:textId="77777777" w:rsidR="00860E49" w:rsidRPr="00860E49" w:rsidRDefault="00860E49" w:rsidP="00860E4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0"/>
        <w:jc w:val="both"/>
        <w:textAlignment w:val="auto"/>
        <w:rPr>
          <w:rFonts w:ascii="Arial" w:hAnsi="Arial" w:cs="Arial"/>
          <w:color w:val="auto"/>
          <w:kern w:val="3"/>
        </w:rPr>
      </w:pPr>
    </w:p>
    <w:p w14:paraId="45EF4019" w14:textId="77777777" w:rsidR="00860E49" w:rsidRPr="00860E49" w:rsidRDefault="00860E49" w:rsidP="00860E4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860E49"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  <w:t xml:space="preserve">Art. 3° </w:t>
      </w:r>
      <w:r w:rsidRPr="00860E49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publicação.</w:t>
      </w:r>
    </w:p>
    <w:p w14:paraId="65951907" w14:textId="4596BF72" w:rsidR="002466C1" w:rsidRPr="00372B0F" w:rsidRDefault="002466C1" w:rsidP="00372B0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D27D1DF" w14:textId="1D41587B" w:rsidR="0021568F" w:rsidRPr="0021568F" w:rsidRDefault="0021568F" w:rsidP="002156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autoSpaceDN w:val="0"/>
        <w:spacing w:after="120" w:line="240" w:lineRule="auto"/>
        <w:jc w:val="both"/>
        <w:textAlignment w:val="auto"/>
        <w:rPr>
          <w:color w:val="auto"/>
          <w:kern w:val="3"/>
        </w:rPr>
      </w:pPr>
    </w:p>
    <w:p w14:paraId="57C1C417" w14:textId="46BE87CA" w:rsidR="004476B9" w:rsidRPr="0021568F" w:rsidRDefault="009D552D" w:rsidP="0021568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b/>
          <w:bCs/>
          <w:color w:val="auto"/>
          <w:kern w:val="0"/>
          <w:lang w:eastAsia="pt-BR" w:bidi="ar-SA"/>
        </w:rPr>
      </w:pPr>
      <w:r w:rsidRPr="009D552D">
        <w:rPr>
          <w:rFonts w:ascii="Arial" w:eastAsia="Times New Roman" w:hAnsi="Arial" w:cs="Arial"/>
          <w:color w:val="auto"/>
          <w:kern w:val="0"/>
          <w:lang w:eastAsia="pt-BR" w:bidi="ar-SA"/>
        </w:rPr>
        <w:t>.</w:t>
      </w:r>
    </w:p>
    <w:p w14:paraId="289C0F33" w14:textId="4B56A098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1C6E84">
        <w:rPr>
          <w:rFonts w:ascii="Arial" w:eastAsia="Arial" w:hAnsi="Arial" w:cs="Arial"/>
        </w:rPr>
        <w:t>06</w:t>
      </w:r>
      <w:r w:rsidRPr="00580158">
        <w:rPr>
          <w:rFonts w:ascii="Arial" w:eastAsia="Arial" w:hAnsi="Arial" w:cs="Arial"/>
        </w:rPr>
        <w:t xml:space="preserve"> de </w:t>
      </w:r>
      <w:r w:rsidR="001C6E84">
        <w:rPr>
          <w:rFonts w:ascii="Arial" w:eastAsia="Arial" w:hAnsi="Arial" w:cs="Arial"/>
        </w:rPr>
        <w:t>março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3A668101" w14:textId="4C8BB62D" w:rsidR="001C6E84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sectPr w:rsidR="0049183D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BD82CC5"/>
    <w:multiLevelType w:val="hybridMultilevel"/>
    <w:tmpl w:val="F8C68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2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3"/>
  </w:num>
  <w:num w:numId="4" w16cid:durableId="75053566">
    <w:abstractNumId w:val="8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6"/>
  </w:num>
  <w:num w:numId="12" w16cid:durableId="885410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66645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31191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81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429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10078C"/>
    <w:rsid w:val="00117071"/>
    <w:rsid w:val="00121574"/>
    <w:rsid w:val="00122B94"/>
    <w:rsid w:val="00124F4A"/>
    <w:rsid w:val="0013534C"/>
    <w:rsid w:val="001426AB"/>
    <w:rsid w:val="00145608"/>
    <w:rsid w:val="0015718F"/>
    <w:rsid w:val="00185201"/>
    <w:rsid w:val="00185D89"/>
    <w:rsid w:val="001C6E84"/>
    <w:rsid w:val="001D4113"/>
    <w:rsid w:val="001E092A"/>
    <w:rsid w:val="002050C4"/>
    <w:rsid w:val="0021568F"/>
    <w:rsid w:val="002300AF"/>
    <w:rsid w:val="002466C1"/>
    <w:rsid w:val="002613AC"/>
    <w:rsid w:val="00281418"/>
    <w:rsid w:val="002855A2"/>
    <w:rsid w:val="00292A69"/>
    <w:rsid w:val="002A0D7C"/>
    <w:rsid w:val="002A78B6"/>
    <w:rsid w:val="002C503C"/>
    <w:rsid w:val="002D28AB"/>
    <w:rsid w:val="002E2E4D"/>
    <w:rsid w:val="00301C04"/>
    <w:rsid w:val="00312DA4"/>
    <w:rsid w:val="003610E9"/>
    <w:rsid w:val="00372B0F"/>
    <w:rsid w:val="00384C7A"/>
    <w:rsid w:val="00385437"/>
    <w:rsid w:val="003C41EB"/>
    <w:rsid w:val="003E7153"/>
    <w:rsid w:val="004163E0"/>
    <w:rsid w:val="004260B9"/>
    <w:rsid w:val="004476B9"/>
    <w:rsid w:val="00466FA4"/>
    <w:rsid w:val="00475D1E"/>
    <w:rsid w:val="0048669F"/>
    <w:rsid w:val="00486D68"/>
    <w:rsid w:val="0049183D"/>
    <w:rsid w:val="004B3AB2"/>
    <w:rsid w:val="004E016E"/>
    <w:rsid w:val="004E4613"/>
    <w:rsid w:val="004E58F4"/>
    <w:rsid w:val="004F74BD"/>
    <w:rsid w:val="0050637F"/>
    <w:rsid w:val="005371BA"/>
    <w:rsid w:val="00541C4C"/>
    <w:rsid w:val="005660E9"/>
    <w:rsid w:val="00567374"/>
    <w:rsid w:val="00580158"/>
    <w:rsid w:val="005F47AC"/>
    <w:rsid w:val="0066281B"/>
    <w:rsid w:val="00693AEC"/>
    <w:rsid w:val="006B20FB"/>
    <w:rsid w:val="006C2678"/>
    <w:rsid w:val="006C70F8"/>
    <w:rsid w:val="00750793"/>
    <w:rsid w:val="00793337"/>
    <w:rsid w:val="007A5390"/>
    <w:rsid w:val="007C2F57"/>
    <w:rsid w:val="00840C35"/>
    <w:rsid w:val="00860E49"/>
    <w:rsid w:val="008714FB"/>
    <w:rsid w:val="0087793A"/>
    <w:rsid w:val="00884198"/>
    <w:rsid w:val="008A0271"/>
    <w:rsid w:val="008C098A"/>
    <w:rsid w:val="008D2150"/>
    <w:rsid w:val="008E6D84"/>
    <w:rsid w:val="008F1E93"/>
    <w:rsid w:val="00900143"/>
    <w:rsid w:val="00906BFB"/>
    <w:rsid w:val="00913211"/>
    <w:rsid w:val="00916096"/>
    <w:rsid w:val="00935B41"/>
    <w:rsid w:val="009444DF"/>
    <w:rsid w:val="009548C8"/>
    <w:rsid w:val="0096760A"/>
    <w:rsid w:val="00975593"/>
    <w:rsid w:val="009923AC"/>
    <w:rsid w:val="009975D0"/>
    <w:rsid w:val="009A39C4"/>
    <w:rsid w:val="009A507E"/>
    <w:rsid w:val="009A5BB0"/>
    <w:rsid w:val="009D552D"/>
    <w:rsid w:val="009E104F"/>
    <w:rsid w:val="009F7409"/>
    <w:rsid w:val="00A00FD5"/>
    <w:rsid w:val="00A04061"/>
    <w:rsid w:val="00A05DE9"/>
    <w:rsid w:val="00A12EA8"/>
    <w:rsid w:val="00A138ED"/>
    <w:rsid w:val="00A243BB"/>
    <w:rsid w:val="00A445B4"/>
    <w:rsid w:val="00A47569"/>
    <w:rsid w:val="00A5742E"/>
    <w:rsid w:val="00AB4641"/>
    <w:rsid w:val="00AD01DF"/>
    <w:rsid w:val="00AD1665"/>
    <w:rsid w:val="00AF0B5D"/>
    <w:rsid w:val="00B11268"/>
    <w:rsid w:val="00B549A0"/>
    <w:rsid w:val="00B5511A"/>
    <w:rsid w:val="00B7773A"/>
    <w:rsid w:val="00B8524A"/>
    <w:rsid w:val="00B937B7"/>
    <w:rsid w:val="00BA6F52"/>
    <w:rsid w:val="00BC0DD2"/>
    <w:rsid w:val="00BD0C54"/>
    <w:rsid w:val="00BE2364"/>
    <w:rsid w:val="00BE4697"/>
    <w:rsid w:val="00C02581"/>
    <w:rsid w:val="00C04ADC"/>
    <w:rsid w:val="00C2058E"/>
    <w:rsid w:val="00C24952"/>
    <w:rsid w:val="00C53234"/>
    <w:rsid w:val="00C82789"/>
    <w:rsid w:val="00CB6D70"/>
    <w:rsid w:val="00CD5903"/>
    <w:rsid w:val="00CE08A5"/>
    <w:rsid w:val="00D02016"/>
    <w:rsid w:val="00D05FCC"/>
    <w:rsid w:val="00D6097A"/>
    <w:rsid w:val="00D7318F"/>
    <w:rsid w:val="00D73AAF"/>
    <w:rsid w:val="00D73BD6"/>
    <w:rsid w:val="00D82FB6"/>
    <w:rsid w:val="00D949CF"/>
    <w:rsid w:val="00DB3472"/>
    <w:rsid w:val="00DF6AB8"/>
    <w:rsid w:val="00E14EB6"/>
    <w:rsid w:val="00E222A0"/>
    <w:rsid w:val="00E35894"/>
    <w:rsid w:val="00E558F3"/>
    <w:rsid w:val="00E66907"/>
    <w:rsid w:val="00E94CF8"/>
    <w:rsid w:val="00EC140B"/>
    <w:rsid w:val="00EE1756"/>
    <w:rsid w:val="00EF620B"/>
    <w:rsid w:val="00F41D9A"/>
    <w:rsid w:val="00F60BFF"/>
    <w:rsid w:val="00FA51BB"/>
    <w:rsid w:val="00FA6D94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936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57</cp:revision>
  <cp:lastPrinted>2025-03-06T12:02:00Z</cp:lastPrinted>
  <dcterms:created xsi:type="dcterms:W3CDTF">2024-04-30T11:49:00Z</dcterms:created>
  <dcterms:modified xsi:type="dcterms:W3CDTF">2025-03-06T12:16:00Z</dcterms:modified>
</cp:coreProperties>
</file>